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1712176330"/>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288"/>
          </w:tblGrid>
          <w:tr w:rsidR="00BD3F85">
            <w:trPr>
              <w:trHeight w:val="2880"/>
              <w:jc w:val="center"/>
            </w:trPr>
            <w:tc>
              <w:tcPr>
                <w:tcW w:w="5000" w:type="pct"/>
              </w:tcPr>
              <w:p w:rsidR="00BD3F85" w:rsidRDefault="00BD3F85">
                <w:pPr>
                  <w:pStyle w:val="Sansinterligne"/>
                  <w:jc w:val="center"/>
                  <w:rPr>
                    <w:rFonts w:asciiTheme="majorHAnsi" w:eastAsiaTheme="majorEastAsia" w:hAnsiTheme="majorHAnsi" w:cstheme="majorBidi"/>
                    <w:caps/>
                  </w:rPr>
                </w:pPr>
              </w:p>
            </w:tc>
          </w:tr>
          <w:tr w:rsidR="00BD3F85">
            <w:trPr>
              <w:trHeight w:val="1440"/>
              <w:jc w:val="center"/>
            </w:trPr>
            <w:sdt>
              <w:sdtPr>
                <w:rPr>
                  <w:rFonts w:eastAsiaTheme="majorEastAsia" w:cstheme="minorHAnsi"/>
                  <w:sz w:val="36"/>
                  <w:szCs w:val="36"/>
                </w:rPr>
                <w:alias w:val="Titr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BD3F85" w:rsidRDefault="00BD3F85" w:rsidP="00BD3F85">
                    <w:pPr>
                      <w:pStyle w:val="Sansinterligne"/>
                      <w:jc w:val="center"/>
                      <w:rPr>
                        <w:rFonts w:asciiTheme="majorHAnsi" w:eastAsiaTheme="majorEastAsia" w:hAnsiTheme="majorHAnsi" w:cstheme="majorBidi"/>
                        <w:sz w:val="80"/>
                        <w:szCs w:val="80"/>
                      </w:rPr>
                    </w:pPr>
                    <w:r w:rsidRPr="00BD3F85">
                      <w:rPr>
                        <w:rFonts w:eastAsiaTheme="majorEastAsia" w:cstheme="minorHAnsi"/>
                        <w:sz w:val="36"/>
                        <w:szCs w:val="36"/>
                      </w:rPr>
                      <w:t>CONSEIL D’ORIENTATION DE LA PARTICIPATION,</w:t>
                    </w:r>
                    <w:r w:rsidR="00D6671B">
                      <w:rPr>
                        <w:rFonts w:eastAsiaTheme="majorEastAsia" w:cstheme="minorHAnsi"/>
                        <w:sz w:val="36"/>
                        <w:szCs w:val="36"/>
                      </w:rPr>
                      <w:t xml:space="preserve"> </w:t>
                    </w:r>
                    <w:r w:rsidRPr="00BD3F85">
                      <w:rPr>
                        <w:rFonts w:eastAsiaTheme="majorEastAsia" w:cstheme="minorHAnsi"/>
                        <w:sz w:val="36"/>
                        <w:szCs w:val="36"/>
                      </w:rPr>
                      <w:t>DE L’INTERESSEMENT, DE L’EPARGNE SALARIALEET DE L’ACTIONNARIAT SALARIE</w:t>
                    </w:r>
                    <w:r w:rsidR="00A10C76">
                      <w:rPr>
                        <w:rFonts w:eastAsiaTheme="majorEastAsia" w:cstheme="minorHAnsi"/>
                        <w:sz w:val="36"/>
                        <w:szCs w:val="36"/>
                      </w:rPr>
                      <w:t xml:space="preserve"> </w:t>
                    </w:r>
                    <w:r w:rsidRPr="00BD3F85">
                      <w:rPr>
                        <w:rFonts w:eastAsiaTheme="majorEastAsia" w:cstheme="minorHAnsi"/>
                        <w:sz w:val="36"/>
                        <w:szCs w:val="36"/>
                      </w:rPr>
                      <w:t>(COPIESAS)</w:t>
                    </w:r>
                  </w:p>
                </w:tc>
              </w:sdtContent>
            </w:sdt>
          </w:tr>
          <w:tr w:rsidR="00BD3F85" w:rsidTr="00BD3F85">
            <w:trPr>
              <w:trHeight w:val="2019"/>
              <w:jc w:val="center"/>
            </w:trPr>
            <w:tc>
              <w:tcPr>
                <w:tcW w:w="5000" w:type="pct"/>
                <w:tcBorders>
                  <w:top w:val="single" w:sz="4" w:space="0" w:color="4F81BD" w:themeColor="accent1"/>
                </w:tcBorders>
                <w:vAlign w:val="center"/>
              </w:tcPr>
              <w:p w:rsidR="00BD3F85" w:rsidRDefault="00BD3F85" w:rsidP="00BD3F85">
                <w:pPr>
                  <w:jc w:val="center"/>
                  <w:rPr>
                    <w:rFonts w:cstheme="minorHAnsi"/>
                    <w:b/>
                    <w:bCs/>
                    <w:sz w:val="40"/>
                    <w:szCs w:val="40"/>
                  </w:rPr>
                </w:pPr>
              </w:p>
              <w:p w:rsidR="00BD3F85" w:rsidRDefault="00BD3F85" w:rsidP="00BD3F85">
                <w:pPr>
                  <w:jc w:val="center"/>
                  <w:rPr>
                    <w:rFonts w:cstheme="minorHAnsi"/>
                    <w:b/>
                    <w:bCs/>
                    <w:sz w:val="40"/>
                    <w:szCs w:val="40"/>
                  </w:rPr>
                </w:pPr>
              </w:p>
              <w:p w:rsidR="00BD3F85" w:rsidRDefault="00BD3F85" w:rsidP="00BD3F85">
                <w:pPr>
                  <w:jc w:val="center"/>
                  <w:rPr>
                    <w:rFonts w:cstheme="minorHAnsi"/>
                    <w:b/>
                    <w:bCs/>
                    <w:sz w:val="40"/>
                    <w:szCs w:val="40"/>
                  </w:rPr>
                </w:pPr>
              </w:p>
              <w:p w:rsidR="00BD3F85" w:rsidRDefault="00BD3F85" w:rsidP="00BD3F85">
                <w:pPr>
                  <w:jc w:val="center"/>
                  <w:rPr>
                    <w:rFonts w:cstheme="minorHAnsi"/>
                    <w:b/>
                    <w:bCs/>
                    <w:sz w:val="40"/>
                    <w:szCs w:val="40"/>
                  </w:rPr>
                </w:pPr>
              </w:p>
              <w:p w:rsidR="00BD3F85" w:rsidRPr="00B54AA0" w:rsidRDefault="00BD3F85" w:rsidP="00BD3F85">
                <w:pPr>
                  <w:jc w:val="center"/>
                  <w:rPr>
                    <w:rFonts w:cstheme="minorHAnsi"/>
                    <w:b/>
                  </w:rPr>
                </w:pPr>
                <w:r w:rsidRPr="00B54AA0">
                  <w:rPr>
                    <w:rFonts w:cstheme="minorHAnsi"/>
                    <w:b/>
                    <w:bCs/>
                    <w:sz w:val="40"/>
                    <w:szCs w:val="40"/>
                  </w:rPr>
                  <w:t>RAPPORT</w:t>
                </w:r>
              </w:p>
              <w:p w:rsidR="00BD3F85" w:rsidRPr="00B54AA0" w:rsidRDefault="00BD3F85" w:rsidP="00BD3F85">
                <w:pPr>
                  <w:autoSpaceDE w:val="0"/>
                  <w:autoSpaceDN w:val="0"/>
                  <w:adjustRightInd w:val="0"/>
                  <w:spacing w:after="0" w:line="240" w:lineRule="auto"/>
                  <w:jc w:val="center"/>
                  <w:rPr>
                    <w:rFonts w:cstheme="minorHAnsi"/>
                    <w:b/>
                  </w:rPr>
                </w:pPr>
                <w:r w:rsidRPr="00B54AA0">
                  <w:rPr>
                    <w:rFonts w:cstheme="minorHAnsi"/>
                    <w:b/>
                    <w:bCs/>
                    <w:sz w:val="40"/>
                    <w:szCs w:val="40"/>
                  </w:rPr>
                  <w:t>Propositions en vue d’une réforme de l’épargne</w:t>
                </w:r>
                <w:r>
                  <w:rPr>
                    <w:rFonts w:cstheme="minorHAnsi"/>
                    <w:b/>
                    <w:bCs/>
                    <w:sz w:val="40"/>
                    <w:szCs w:val="40"/>
                  </w:rPr>
                  <w:t xml:space="preserve"> </w:t>
                </w:r>
                <w:r w:rsidRPr="00B54AA0">
                  <w:rPr>
                    <w:rFonts w:cstheme="minorHAnsi"/>
                    <w:b/>
                    <w:bCs/>
                    <w:sz w:val="40"/>
                    <w:szCs w:val="40"/>
                  </w:rPr>
                  <w:t>salariale</w:t>
                </w:r>
              </w:p>
              <w:p w:rsidR="00BD3F85" w:rsidRDefault="00BD3F85" w:rsidP="00BD3F85">
                <w:pPr>
                  <w:pStyle w:val="Sansinterligne"/>
                  <w:jc w:val="center"/>
                  <w:rPr>
                    <w:rFonts w:asciiTheme="majorHAnsi" w:eastAsiaTheme="majorEastAsia" w:hAnsiTheme="majorHAnsi" w:cstheme="majorBidi"/>
                    <w:sz w:val="44"/>
                    <w:szCs w:val="44"/>
                  </w:rPr>
                </w:pPr>
              </w:p>
            </w:tc>
          </w:tr>
          <w:tr w:rsidR="00BD3F85">
            <w:trPr>
              <w:trHeight w:val="360"/>
              <w:jc w:val="center"/>
            </w:trPr>
            <w:tc>
              <w:tcPr>
                <w:tcW w:w="5000" w:type="pct"/>
                <w:vAlign w:val="center"/>
              </w:tcPr>
              <w:p w:rsidR="00BD3F85" w:rsidRDefault="00BD3F85">
                <w:pPr>
                  <w:pStyle w:val="Sansinterligne"/>
                  <w:jc w:val="center"/>
                </w:pPr>
              </w:p>
            </w:tc>
          </w:tr>
          <w:tr w:rsidR="00BD3F85">
            <w:trPr>
              <w:trHeight w:val="360"/>
              <w:jc w:val="center"/>
            </w:trPr>
            <w:tc>
              <w:tcPr>
                <w:tcW w:w="5000" w:type="pct"/>
                <w:vAlign w:val="center"/>
              </w:tcPr>
              <w:p w:rsidR="00BD3F85" w:rsidRDefault="00BD3F85" w:rsidP="00BD3F85">
                <w:pPr>
                  <w:pStyle w:val="Sansinterligne"/>
                  <w:jc w:val="center"/>
                  <w:rPr>
                    <w:b/>
                    <w:bCs/>
                  </w:rPr>
                </w:pPr>
              </w:p>
            </w:tc>
          </w:tr>
          <w:tr w:rsidR="00BD3F85">
            <w:trPr>
              <w:trHeight w:val="360"/>
              <w:jc w:val="center"/>
            </w:trPr>
            <w:tc>
              <w:tcPr>
                <w:tcW w:w="5000" w:type="pct"/>
                <w:vAlign w:val="center"/>
              </w:tcPr>
              <w:p w:rsidR="00BD3F85" w:rsidRDefault="00BD3F85" w:rsidP="00BD3F85">
                <w:pPr>
                  <w:pStyle w:val="Sansinterligne"/>
                  <w:jc w:val="center"/>
                  <w:rPr>
                    <w:b/>
                    <w:bCs/>
                  </w:rPr>
                </w:pPr>
              </w:p>
            </w:tc>
          </w:tr>
        </w:tbl>
        <w:p w:rsidR="00D6671B" w:rsidRPr="00B54AA0" w:rsidRDefault="00D6671B" w:rsidP="00D6671B">
          <w:pPr>
            <w:jc w:val="center"/>
            <w:rPr>
              <w:b/>
              <w:sz w:val="28"/>
              <w:szCs w:val="28"/>
            </w:rPr>
          </w:pPr>
          <w:r w:rsidRPr="00B54AA0">
            <w:rPr>
              <w:b/>
              <w:sz w:val="28"/>
              <w:szCs w:val="28"/>
            </w:rPr>
            <w:t>Mars 2018</w:t>
          </w:r>
        </w:p>
        <w:p w:rsidR="00BD3F85" w:rsidRDefault="00BD3F85"/>
        <w:p w:rsidR="00BD3F85" w:rsidRDefault="00BD3F85"/>
        <w:tbl>
          <w:tblPr>
            <w:tblpPr w:leftFromText="187" w:rightFromText="187" w:horzAnchor="margin" w:tblpXSpec="center" w:tblpYSpec="bottom"/>
            <w:tblW w:w="5000" w:type="pct"/>
            <w:tblLook w:val="04A0" w:firstRow="1" w:lastRow="0" w:firstColumn="1" w:lastColumn="0" w:noHBand="0" w:noVBand="1"/>
          </w:tblPr>
          <w:tblGrid>
            <w:gridCol w:w="9288"/>
          </w:tblGrid>
          <w:tr w:rsidR="00BD3F85">
            <w:tc>
              <w:tcPr>
                <w:tcW w:w="5000" w:type="pct"/>
              </w:tcPr>
              <w:p w:rsidR="00BD3F85" w:rsidRDefault="00BD3F85">
                <w:pPr>
                  <w:pStyle w:val="Sansinterligne"/>
                </w:pPr>
              </w:p>
            </w:tc>
          </w:tr>
        </w:tbl>
        <w:p w:rsidR="00BD3F85" w:rsidRDefault="00BD3F85"/>
        <w:p w:rsidR="00BD3F85" w:rsidRDefault="00BD3F85">
          <w:r>
            <w:br w:type="page"/>
          </w:r>
          <w:r w:rsidR="00D6671B">
            <w:lastRenderedPageBreak/>
            <w:br w:type="page"/>
          </w:r>
        </w:p>
      </w:sdtContent>
    </w:sdt>
    <w:p w:rsidR="002861E6" w:rsidRDefault="002861E6" w:rsidP="002861E6">
      <w:pPr>
        <w:pBdr>
          <w:top w:val="single" w:sz="4" w:space="1" w:color="auto"/>
          <w:left w:val="single" w:sz="4" w:space="4" w:color="auto"/>
          <w:bottom w:val="single" w:sz="4" w:space="1" w:color="auto"/>
          <w:right w:val="single" w:sz="4" w:space="4" w:color="auto"/>
        </w:pBdr>
        <w:shd w:val="pct10" w:color="auto" w:fill="auto"/>
        <w:jc w:val="center"/>
        <w:rPr>
          <w:b/>
          <w:sz w:val="32"/>
          <w:szCs w:val="32"/>
        </w:rPr>
      </w:pPr>
      <w:r>
        <w:rPr>
          <w:b/>
          <w:sz w:val="32"/>
          <w:szCs w:val="32"/>
        </w:rPr>
        <w:lastRenderedPageBreak/>
        <w:t>Membres du COPIESAS</w:t>
      </w:r>
    </w:p>
    <w:p w:rsidR="002861E6" w:rsidRDefault="002861E6" w:rsidP="002861E6">
      <w:pPr>
        <w:spacing w:after="0" w:line="240" w:lineRule="auto"/>
        <w:rPr>
          <w:b/>
          <w:sz w:val="28"/>
          <w:szCs w:val="28"/>
        </w:rPr>
      </w:pPr>
    </w:p>
    <w:p w:rsidR="002861E6" w:rsidRDefault="002861E6" w:rsidP="002861E6">
      <w:pPr>
        <w:spacing w:after="0"/>
        <w:rPr>
          <w:b/>
        </w:rPr>
      </w:pPr>
      <w:r>
        <w:rPr>
          <w:b/>
        </w:rPr>
        <w:t>Représentants des organisations syndicales et patronales :</w:t>
      </w:r>
    </w:p>
    <w:p w:rsidR="002861E6" w:rsidRDefault="002861E6" w:rsidP="002861E6">
      <w:pPr>
        <w:pStyle w:val="Paragraphedeliste"/>
        <w:numPr>
          <w:ilvl w:val="0"/>
          <w:numId w:val="13"/>
        </w:numPr>
        <w:suppressAutoHyphens/>
        <w:autoSpaceDN w:val="0"/>
        <w:spacing w:after="0" w:line="240" w:lineRule="auto"/>
        <w:contextualSpacing w:val="0"/>
      </w:pPr>
      <w:r>
        <w:t>Confédération française démocratique du travail (CFDT) : M. Alexis MASSE</w:t>
      </w:r>
    </w:p>
    <w:p w:rsidR="002861E6" w:rsidRDefault="002861E6" w:rsidP="002861E6">
      <w:pPr>
        <w:pStyle w:val="Paragraphedeliste"/>
        <w:numPr>
          <w:ilvl w:val="0"/>
          <w:numId w:val="13"/>
        </w:numPr>
        <w:suppressAutoHyphens/>
        <w:autoSpaceDN w:val="0"/>
        <w:spacing w:after="0" w:line="240" w:lineRule="auto"/>
        <w:contextualSpacing w:val="0"/>
      </w:pPr>
      <w:r>
        <w:t>Confédération générale du travail (CGT) : M. Pierre-Yves CHANU</w:t>
      </w:r>
    </w:p>
    <w:p w:rsidR="002861E6" w:rsidRDefault="002861E6" w:rsidP="002861E6">
      <w:pPr>
        <w:pStyle w:val="Paragraphedeliste"/>
        <w:numPr>
          <w:ilvl w:val="0"/>
          <w:numId w:val="13"/>
        </w:numPr>
        <w:suppressAutoHyphens/>
        <w:autoSpaceDN w:val="0"/>
        <w:spacing w:after="0" w:line="240" w:lineRule="auto"/>
        <w:contextualSpacing w:val="0"/>
      </w:pPr>
      <w:r>
        <w:t>Confédération générale du travail-Force ouvrière (CGT-FO) : M. Philippe GUIMARD</w:t>
      </w:r>
    </w:p>
    <w:p w:rsidR="002861E6" w:rsidRDefault="002861E6" w:rsidP="002861E6">
      <w:pPr>
        <w:pStyle w:val="Paragraphedeliste"/>
        <w:numPr>
          <w:ilvl w:val="0"/>
          <w:numId w:val="13"/>
        </w:numPr>
        <w:suppressAutoHyphens/>
        <w:autoSpaceDN w:val="0"/>
        <w:spacing w:after="0" w:line="240" w:lineRule="auto"/>
        <w:contextualSpacing w:val="0"/>
      </w:pPr>
      <w:r>
        <w:t>Confédération française des travailleurs chrétiens (CFTC) : M. Geoffroy De VIENNE</w:t>
      </w:r>
    </w:p>
    <w:p w:rsidR="002861E6" w:rsidRDefault="002861E6" w:rsidP="002861E6">
      <w:pPr>
        <w:pStyle w:val="Paragraphedeliste"/>
        <w:numPr>
          <w:ilvl w:val="0"/>
          <w:numId w:val="13"/>
        </w:numPr>
        <w:suppressAutoHyphens/>
        <w:autoSpaceDN w:val="0"/>
        <w:spacing w:after="0" w:line="240" w:lineRule="auto"/>
        <w:contextualSpacing w:val="0"/>
      </w:pPr>
      <w:r>
        <w:t>Confédération française de l'encadrement-Confédération générale des cadres (CFE-CGC) : M. Gérard MARDINÉ</w:t>
      </w:r>
    </w:p>
    <w:p w:rsidR="002861E6" w:rsidRDefault="002861E6" w:rsidP="002861E6">
      <w:pPr>
        <w:pStyle w:val="Paragraphedeliste"/>
        <w:numPr>
          <w:ilvl w:val="0"/>
          <w:numId w:val="13"/>
        </w:numPr>
        <w:suppressAutoHyphens/>
        <w:autoSpaceDN w:val="0"/>
        <w:spacing w:after="0" w:line="240" w:lineRule="auto"/>
        <w:contextualSpacing w:val="0"/>
      </w:pPr>
      <w:r>
        <w:t>Mouvement des entreprises de France (MEDEF) : M. Marc VEYRON</w:t>
      </w:r>
    </w:p>
    <w:p w:rsidR="002861E6" w:rsidRDefault="002861E6" w:rsidP="002861E6">
      <w:pPr>
        <w:pStyle w:val="Paragraphedeliste"/>
        <w:numPr>
          <w:ilvl w:val="0"/>
          <w:numId w:val="13"/>
        </w:numPr>
        <w:suppressAutoHyphens/>
        <w:autoSpaceDN w:val="0"/>
        <w:spacing w:after="0" w:line="240" w:lineRule="auto"/>
        <w:contextualSpacing w:val="0"/>
      </w:pPr>
      <w:r>
        <w:t>Confédération générale des petites et moyennes entreprises (CGPME) : Mme Stéphanie PAUZAT</w:t>
      </w:r>
    </w:p>
    <w:p w:rsidR="002861E6" w:rsidRDefault="002861E6" w:rsidP="002861E6">
      <w:pPr>
        <w:pStyle w:val="Paragraphedeliste"/>
        <w:numPr>
          <w:ilvl w:val="0"/>
          <w:numId w:val="13"/>
        </w:numPr>
        <w:suppressAutoHyphens/>
        <w:autoSpaceDN w:val="0"/>
        <w:spacing w:after="0" w:line="240" w:lineRule="auto"/>
        <w:contextualSpacing w:val="0"/>
      </w:pPr>
      <w:r>
        <w:t>Union nationale des professions libérales (U2P) : M. Fabrice de LONGEVIALLE</w:t>
      </w:r>
    </w:p>
    <w:p w:rsidR="002861E6" w:rsidRDefault="002861E6" w:rsidP="002861E6">
      <w:pPr>
        <w:pStyle w:val="Paragraphedeliste"/>
        <w:numPr>
          <w:ilvl w:val="0"/>
          <w:numId w:val="13"/>
        </w:numPr>
        <w:suppressAutoHyphens/>
        <w:autoSpaceDN w:val="0"/>
        <w:spacing w:after="0" w:line="240" w:lineRule="auto"/>
        <w:contextualSpacing w:val="0"/>
      </w:pPr>
      <w:r>
        <w:t>Fédération nationale des syndicats d'exploitants agricoles (FNSEA) : M. Jérôme VOLLE</w:t>
      </w:r>
    </w:p>
    <w:p w:rsidR="002861E6" w:rsidRDefault="002861E6" w:rsidP="002861E6">
      <w:pPr>
        <w:pStyle w:val="Paragraphedeliste"/>
        <w:numPr>
          <w:ilvl w:val="0"/>
          <w:numId w:val="13"/>
        </w:numPr>
        <w:suppressAutoHyphens/>
        <w:autoSpaceDN w:val="0"/>
        <w:spacing w:after="0" w:line="240" w:lineRule="auto"/>
        <w:contextualSpacing w:val="0"/>
      </w:pPr>
      <w:r w:rsidRPr="007331A4">
        <w:t>Union des employeurs de l’économie sociale et solidaire (UDES): M. Charles-Henri MONTAUT</w:t>
      </w:r>
    </w:p>
    <w:p w:rsidR="002861E6" w:rsidRDefault="002861E6" w:rsidP="002861E6">
      <w:pPr>
        <w:spacing w:after="0"/>
      </w:pPr>
    </w:p>
    <w:p w:rsidR="002861E6" w:rsidRDefault="002861E6" w:rsidP="002861E6">
      <w:pPr>
        <w:spacing w:after="0"/>
        <w:rPr>
          <w:b/>
        </w:rPr>
      </w:pPr>
      <w:r>
        <w:rPr>
          <w:b/>
        </w:rPr>
        <w:t>Représentants des administrations et autorités indépendantes :</w:t>
      </w:r>
    </w:p>
    <w:p w:rsidR="002861E6" w:rsidRDefault="002861E6" w:rsidP="002861E6">
      <w:pPr>
        <w:pStyle w:val="Paragraphedeliste"/>
        <w:numPr>
          <w:ilvl w:val="0"/>
          <w:numId w:val="14"/>
        </w:numPr>
        <w:suppressAutoHyphens/>
        <w:autoSpaceDN w:val="0"/>
        <w:spacing w:after="0" w:line="240" w:lineRule="auto"/>
        <w:contextualSpacing w:val="0"/>
      </w:pPr>
      <w:r>
        <w:t>Le directeur général du travail</w:t>
      </w:r>
    </w:p>
    <w:p w:rsidR="002861E6" w:rsidRDefault="002861E6" w:rsidP="002861E6">
      <w:pPr>
        <w:pStyle w:val="Paragraphedeliste"/>
        <w:numPr>
          <w:ilvl w:val="0"/>
          <w:numId w:val="14"/>
        </w:numPr>
        <w:suppressAutoHyphens/>
        <w:autoSpaceDN w:val="0"/>
        <w:spacing w:after="0" w:line="240" w:lineRule="auto"/>
        <w:contextualSpacing w:val="0"/>
      </w:pPr>
      <w:r>
        <w:t xml:space="preserve">Le directeur des affaires civiles et du sceau </w:t>
      </w:r>
    </w:p>
    <w:p w:rsidR="002861E6" w:rsidRDefault="002861E6" w:rsidP="002861E6">
      <w:pPr>
        <w:pStyle w:val="Paragraphedeliste"/>
        <w:numPr>
          <w:ilvl w:val="0"/>
          <w:numId w:val="14"/>
        </w:numPr>
        <w:suppressAutoHyphens/>
        <w:autoSpaceDN w:val="0"/>
        <w:spacing w:after="0" w:line="240" w:lineRule="auto"/>
        <w:contextualSpacing w:val="0"/>
      </w:pPr>
      <w:r>
        <w:t>Le directeur général du trésor</w:t>
      </w:r>
    </w:p>
    <w:p w:rsidR="002861E6" w:rsidRDefault="002861E6" w:rsidP="002861E6">
      <w:pPr>
        <w:pStyle w:val="Paragraphedeliste"/>
        <w:numPr>
          <w:ilvl w:val="0"/>
          <w:numId w:val="14"/>
        </w:numPr>
        <w:suppressAutoHyphens/>
        <w:autoSpaceDN w:val="0"/>
        <w:spacing w:after="0" w:line="240" w:lineRule="auto"/>
        <w:contextualSpacing w:val="0"/>
      </w:pPr>
      <w:r>
        <w:t>Le directeur de la législation fiscale</w:t>
      </w:r>
    </w:p>
    <w:p w:rsidR="002861E6" w:rsidRDefault="002861E6" w:rsidP="002861E6">
      <w:pPr>
        <w:pStyle w:val="Paragraphedeliste"/>
        <w:numPr>
          <w:ilvl w:val="0"/>
          <w:numId w:val="14"/>
        </w:numPr>
        <w:suppressAutoHyphens/>
        <w:autoSpaceDN w:val="0"/>
        <w:spacing w:after="0" w:line="240" w:lineRule="auto"/>
        <w:contextualSpacing w:val="0"/>
      </w:pPr>
      <w:r>
        <w:t>Le directeur de l’animation de la recherche, des études et des statistiques</w:t>
      </w:r>
    </w:p>
    <w:p w:rsidR="002861E6" w:rsidRDefault="002861E6" w:rsidP="002861E6">
      <w:pPr>
        <w:pStyle w:val="Paragraphedeliste"/>
        <w:numPr>
          <w:ilvl w:val="0"/>
          <w:numId w:val="14"/>
        </w:numPr>
        <w:suppressAutoHyphens/>
        <w:autoSpaceDN w:val="0"/>
        <w:spacing w:after="0" w:line="240" w:lineRule="auto"/>
        <w:contextualSpacing w:val="0"/>
      </w:pPr>
      <w:r>
        <w:t>Le directeur de la sécurité sociale</w:t>
      </w:r>
    </w:p>
    <w:p w:rsidR="002861E6" w:rsidRDefault="002861E6" w:rsidP="002861E6">
      <w:pPr>
        <w:pStyle w:val="Paragraphedeliste"/>
        <w:numPr>
          <w:ilvl w:val="0"/>
          <w:numId w:val="14"/>
        </w:numPr>
        <w:suppressAutoHyphens/>
        <w:autoSpaceDN w:val="0"/>
        <w:spacing w:after="0" w:line="240" w:lineRule="auto"/>
        <w:contextualSpacing w:val="0"/>
      </w:pPr>
      <w:r>
        <w:t>Le Commissaire général à la stratégie et à la prospective ou son représentant</w:t>
      </w:r>
    </w:p>
    <w:p w:rsidR="002861E6" w:rsidRDefault="002861E6" w:rsidP="002861E6">
      <w:pPr>
        <w:pStyle w:val="Paragraphedeliste"/>
        <w:numPr>
          <w:ilvl w:val="0"/>
          <w:numId w:val="14"/>
        </w:numPr>
        <w:suppressAutoHyphens/>
        <w:autoSpaceDN w:val="0"/>
        <w:spacing w:after="0" w:line="240" w:lineRule="auto"/>
        <w:contextualSpacing w:val="0"/>
      </w:pPr>
      <w:r>
        <w:t>Le président du Conseil d’orientation pour les retraites ou son représentant</w:t>
      </w:r>
    </w:p>
    <w:p w:rsidR="002861E6" w:rsidRDefault="002861E6" w:rsidP="002861E6">
      <w:pPr>
        <w:pStyle w:val="Paragraphedeliste"/>
        <w:numPr>
          <w:ilvl w:val="0"/>
          <w:numId w:val="14"/>
        </w:numPr>
        <w:suppressAutoHyphens/>
        <w:autoSpaceDN w:val="0"/>
        <w:spacing w:after="0" w:line="240" w:lineRule="auto"/>
        <w:contextualSpacing w:val="0"/>
      </w:pPr>
      <w:r>
        <w:t>Le président de l’Autorité des marchés financiers ou son représentant</w:t>
      </w:r>
    </w:p>
    <w:p w:rsidR="002861E6" w:rsidRDefault="00F50CF6" w:rsidP="00F50CF6">
      <w:pPr>
        <w:tabs>
          <w:tab w:val="left" w:pos="2051"/>
        </w:tabs>
        <w:spacing w:after="0"/>
      </w:pPr>
      <w:r>
        <w:tab/>
      </w:r>
    </w:p>
    <w:p w:rsidR="002861E6" w:rsidRDefault="002861E6" w:rsidP="002861E6">
      <w:pPr>
        <w:spacing w:after="0"/>
        <w:rPr>
          <w:b/>
        </w:rPr>
      </w:pPr>
      <w:r>
        <w:rPr>
          <w:b/>
        </w:rPr>
        <w:t>Parlementaires :</w:t>
      </w:r>
    </w:p>
    <w:p w:rsidR="002861E6" w:rsidRDefault="002861E6" w:rsidP="002861E6">
      <w:pPr>
        <w:pStyle w:val="Paragraphedeliste"/>
        <w:numPr>
          <w:ilvl w:val="0"/>
          <w:numId w:val="15"/>
        </w:numPr>
        <w:suppressAutoHyphens/>
        <w:autoSpaceDN w:val="0"/>
        <w:spacing w:after="0" w:line="240" w:lineRule="auto"/>
        <w:contextualSpacing w:val="0"/>
      </w:pPr>
      <w:r>
        <w:t>M. Aurélien TACHÉ, député, Vice-président du COPIESAS</w:t>
      </w:r>
    </w:p>
    <w:p w:rsidR="002861E6" w:rsidRDefault="002861E6" w:rsidP="002861E6">
      <w:pPr>
        <w:pStyle w:val="Paragraphedeliste"/>
        <w:numPr>
          <w:ilvl w:val="0"/>
          <w:numId w:val="15"/>
        </w:numPr>
        <w:suppressAutoHyphens/>
        <w:autoSpaceDN w:val="0"/>
        <w:spacing w:after="0" w:line="240" w:lineRule="auto"/>
        <w:contextualSpacing w:val="0"/>
      </w:pPr>
      <w:r w:rsidRPr="007331A4">
        <w:t>Mme Bérangère POLETTI, députée</w:t>
      </w:r>
    </w:p>
    <w:p w:rsidR="002861E6" w:rsidRDefault="002861E6" w:rsidP="002861E6">
      <w:pPr>
        <w:pStyle w:val="Paragraphedeliste"/>
        <w:numPr>
          <w:ilvl w:val="0"/>
          <w:numId w:val="15"/>
        </w:numPr>
        <w:suppressAutoHyphens/>
        <w:autoSpaceDN w:val="0"/>
        <w:spacing w:after="0" w:line="240" w:lineRule="auto"/>
        <w:contextualSpacing w:val="0"/>
      </w:pPr>
      <w:r w:rsidRPr="007331A4">
        <w:t>Mme Pascale GRUNY, sénatrice</w:t>
      </w:r>
    </w:p>
    <w:p w:rsidR="002861E6" w:rsidRDefault="002861E6" w:rsidP="002861E6">
      <w:pPr>
        <w:pStyle w:val="Paragraphedeliste"/>
        <w:numPr>
          <w:ilvl w:val="0"/>
          <w:numId w:val="15"/>
        </w:numPr>
        <w:suppressAutoHyphens/>
        <w:autoSpaceDN w:val="0"/>
        <w:spacing w:after="0" w:line="240" w:lineRule="auto"/>
        <w:contextualSpacing w:val="0"/>
      </w:pPr>
      <w:r w:rsidRPr="007331A4">
        <w:t>M. Jean-Louis TOURENNE, sénateur</w:t>
      </w:r>
    </w:p>
    <w:p w:rsidR="002861E6" w:rsidRDefault="002861E6" w:rsidP="002861E6">
      <w:pPr>
        <w:spacing w:after="0"/>
      </w:pPr>
    </w:p>
    <w:p w:rsidR="002861E6" w:rsidRDefault="002861E6" w:rsidP="002861E6">
      <w:pPr>
        <w:spacing w:after="0"/>
        <w:rPr>
          <w:b/>
        </w:rPr>
      </w:pPr>
      <w:r>
        <w:rPr>
          <w:b/>
        </w:rPr>
        <w:t>Personnalités qualifiées :</w:t>
      </w:r>
    </w:p>
    <w:p w:rsidR="002861E6" w:rsidRDefault="002861E6" w:rsidP="002861E6">
      <w:pPr>
        <w:pStyle w:val="Paragraphedeliste"/>
        <w:numPr>
          <w:ilvl w:val="0"/>
          <w:numId w:val="16"/>
        </w:numPr>
        <w:suppressAutoHyphens/>
        <w:autoSpaceDN w:val="0"/>
        <w:spacing w:after="0" w:line="240" w:lineRule="auto"/>
        <w:contextualSpacing w:val="0"/>
      </w:pPr>
      <w:r>
        <w:t>M. Michel BON</w:t>
      </w:r>
    </w:p>
    <w:p w:rsidR="002861E6" w:rsidRDefault="002861E6" w:rsidP="002861E6">
      <w:pPr>
        <w:pStyle w:val="Paragraphedeliste"/>
        <w:numPr>
          <w:ilvl w:val="0"/>
          <w:numId w:val="16"/>
        </w:numPr>
        <w:suppressAutoHyphens/>
        <w:autoSpaceDN w:val="0"/>
        <w:spacing w:after="0" w:line="240" w:lineRule="auto"/>
        <w:contextualSpacing w:val="0"/>
      </w:pPr>
      <w:r>
        <w:t>Mme Nicole CALVINHAC</w:t>
      </w:r>
    </w:p>
    <w:p w:rsidR="002861E6" w:rsidRDefault="002861E6" w:rsidP="002861E6">
      <w:pPr>
        <w:pStyle w:val="Paragraphedeliste"/>
        <w:numPr>
          <w:ilvl w:val="0"/>
          <w:numId w:val="16"/>
        </w:numPr>
        <w:suppressAutoHyphens/>
        <w:autoSpaceDN w:val="0"/>
        <w:spacing w:after="0" w:line="240" w:lineRule="auto"/>
        <w:contextualSpacing w:val="0"/>
      </w:pPr>
      <w:r>
        <w:t>Mme Laure DELAHOUSSE</w:t>
      </w:r>
    </w:p>
    <w:p w:rsidR="002861E6" w:rsidRDefault="002861E6" w:rsidP="002861E6">
      <w:pPr>
        <w:pStyle w:val="Paragraphedeliste"/>
        <w:numPr>
          <w:ilvl w:val="0"/>
          <w:numId w:val="16"/>
        </w:numPr>
        <w:suppressAutoHyphens/>
        <w:autoSpaceDN w:val="0"/>
        <w:spacing w:after="0" w:line="240" w:lineRule="auto"/>
        <w:contextualSpacing w:val="0"/>
      </w:pPr>
      <w:r w:rsidRPr="007331A4">
        <w:t>M. Loïc DESMOUCEAUX</w:t>
      </w:r>
    </w:p>
    <w:p w:rsidR="002861E6" w:rsidRDefault="002861E6" w:rsidP="002861E6">
      <w:pPr>
        <w:pStyle w:val="Paragraphedeliste"/>
        <w:numPr>
          <w:ilvl w:val="0"/>
          <w:numId w:val="16"/>
        </w:numPr>
        <w:suppressAutoHyphens/>
        <w:autoSpaceDN w:val="0"/>
        <w:spacing w:after="0" w:line="240" w:lineRule="auto"/>
        <w:contextualSpacing w:val="0"/>
      </w:pPr>
      <w:r>
        <w:t xml:space="preserve">M. </w:t>
      </w:r>
      <w:r w:rsidRPr="007331A4">
        <w:t>Jacques LANDRIOT</w:t>
      </w:r>
    </w:p>
    <w:p w:rsidR="002861E6" w:rsidRDefault="002861E6" w:rsidP="002861E6">
      <w:pPr>
        <w:pStyle w:val="Paragraphedeliste"/>
        <w:numPr>
          <w:ilvl w:val="0"/>
          <w:numId w:val="16"/>
        </w:numPr>
        <w:suppressAutoHyphens/>
        <w:autoSpaceDN w:val="0"/>
        <w:spacing w:after="0" w:line="240" w:lineRule="auto"/>
        <w:contextualSpacing w:val="0"/>
      </w:pPr>
      <w:r>
        <w:t>Mme Claire MIALARET</w:t>
      </w:r>
    </w:p>
    <w:p w:rsidR="007B3167" w:rsidRDefault="007B3167" w:rsidP="002861E6">
      <w:pPr>
        <w:pStyle w:val="Paragraphedeliste"/>
        <w:numPr>
          <w:ilvl w:val="0"/>
          <w:numId w:val="16"/>
        </w:numPr>
        <w:suppressAutoHyphens/>
        <w:autoSpaceDN w:val="0"/>
        <w:spacing w:after="0" w:line="240" w:lineRule="auto"/>
        <w:contextualSpacing w:val="0"/>
      </w:pPr>
      <w:r>
        <w:t xml:space="preserve">M. Frédéric TIBERGHIEN </w:t>
      </w:r>
    </w:p>
    <w:p w:rsidR="00684FC9" w:rsidRDefault="00684FC9" w:rsidP="007B3167">
      <w:pPr>
        <w:pStyle w:val="Paragraphedeliste"/>
        <w:numPr>
          <w:ilvl w:val="0"/>
          <w:numId w:val="16"/>
        </w:numPr>
        <w:suppressAutoHyphens/>
        <w:autoSpaceDN w:val="0"/>
        <w:spacing w:after="0" w:line="240" w:lineRule="auto"/>
        <w:contextualSpacing w:val="0"/>
      </w:pPr>
      <w:r>
        <w:t>Mme Agnès TOURAINE</w:t>
      </w:r>
    </w:p>
    <w:p w:rsidR="002861E6" w:rsidRDefault="002861E6" w:rsidP="002861E6">
      <w:pPr>
        <w:rPr>
          <w:b/>
        </w:rPr>
      </w:pPr>
    </w:p>
    <w:p w:rsidR="002861E6" w:rsidRDefault="002861E6">
      <w:pPr>
        <w:rPr>
          <w:b/>
        </w:rPr>
      </w:pPr>
      <w:r>
        <w:rPr>
          <w:b/>
        </w:rPr>
        <w:br w:type="page"/>
      </w:r>
    </w:p>
    <w:p w:rsidR="002861E6" w:rsidRDefault="002861E6" w:rsidP="002861E6">
      <w:pPr>
        <w:pBdr>
          <w:top w:val="single" w:sz="4" w:space="1" w:color="auto"/>
          <w:left w:val="single" w:sz="4" w:space="4" w:color="auto"/>
          <w:bottom w:val="single" w:sz="4" w:space="1" w:color="auto"/>
          <w:right w:val="single" w:sz="4" w:space="4" w:color="auto"/>
        </w:pBdr>
        <w:shd w:val="pct10" w:color="auto" w:fill="auto"/>
        <w:jc w:val="center"/>
        <w:rPr>
          <w:b/>
          <w:sz w:val="32"/>
          <w:szCs w:val="32"/>
        </w:rPr>
      </w:pPr>
      <w:r w:rsidRPr="007331A4">
        <w:rPr>
          <w:b/>
          <w:sz w:val="32"/>
          <w:szCs w:val="32"/>
        </w:rPr>
        <w:lastRenderedPageBreak/>
        <w:t xml:space="preserve">Lettre de saisine de la ministre du travail </w:t>
      </w:r>
    </w:p>
    <w:p w:rsidR="002861E6" w:rsidRDefault="002861E6">
      <w:pPr>
        <w:rPr>
          <w:b/>
        </w:rPr>
      </w:pPr>
      <w:r>
        <w:rPr>
          <w:b/>
          <w:noProof/>
          <w:sz w:val="32"/>
          <w:szCs w:val="32"/>
          <w:lang w:eastAsia="fr-FR"/>
        </w:rPr>
        <w:drawing>
          <wp:inline distT="0" distB="0" distL="0" distR="0" wp14:anchorId="115758A4" wp14:editId="5EF04738">
            <wp:extent cx="5760720" cy="8129905"/>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29905"/>
                    </a:xfrm>
                    <a:prstGeom prst="rect">
                      <a:avLst/>
                    </a:prstGeom>
                    <a:noFill/>
                    <a:ln>
                      <a:noFill/>
                    </a:ln>
                  </pic:spPr>
                </pic:pic>
              </a:graphicData>
            </a:graphic>
          </wp:inline>
        </w:drawing>
      </w:r>
    </w:p>
    <w:p w:rsidR="002861E6" w:rsidRDefault="002861E6">
      <w:pPr>
        <w:rPr>
          <w:b/>
        </w:rPr>
      </w:pPr>
      <w:r>
        <w:rPr>
          <w:b/>
          <w:noProof/>
          <w:sz w:val="32"/>
          <w:szCs w:val="32"/>
          <w:lang w:eastAsia="fr-FR"/>
        </w:rPr>
        <w:lastRenderedPageBreak/>
        <w:drawing>
          <wp:inline distT="0" distB="0" distL="0" distR="0" wp14:anchorId="42E91FA9" wp14:editId="04707AF4">
            <wp:extent cx="5760720" cy="812990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29905"/>
                    </a:xfrm>
                    <a:prstGeom prst="rect">
                      <a:avLst/>
                    </a:prstGeom>
                    <a:noFill/>
                    <a:ln>
                      <a:noFill/>
                    </a:ln>
                  </pic:spPr>
                </pic:pic>
              </a:graphicData>
            </a:graphic>
          </wp:inline>
        </w:drawing>
      </w:r>
    </w:p>
    <w:p w:rsidR="002861E6" w:rsidRDefault="002861E6">
      <w:pPr>
        <w:rPr>
          <w:b/>
        </w:rPr>
      </w:pPr>
    </w:p>
    <w:p w:rsidR="002861E6" w:rsidRDefault="002861E6">
      <w:pPr>
        <w:rPr>
          <w:b/>
        </w:rPr>
      </w:pPr>
    </w:p>
    <w:p w:rsidR="002861E6" w:rsidRDefault="002861E6" w:rsidP="002861E6">
      <w:pPr>
        <w:jc w:val="center"/>
        <w:rPr>
          <w:b/>
          <w:sz w:val="28"/>
          <w:szCs w:val="28"/>
        </w:rPr>
      </w:pPr>
      <w:r w:rsidRPr="0017141F">
        <w:rPr>
          <w:b/>
          <w:sz w:val="28"/>
          <w:szCs w:val="28"/>
        </w:rPr>
        <w:lastRenderedPageBreak/>
        <w:t>SOMMAIRE</w:t>
      </w:r>
    </w:p>
    <w:p w:rsidR="004D7BFA" w:rsidRPr="0017141F" w:rsidRDefault="004D7BFA" w:rsidP="002861E6">
      <w:pPr>
        <w:jc w:val="center"/>
        <w:rPr>
          <w:b/>
          <w:sz w:val="28"/>
          <w:szCs w:val="28"/>
        </w:rPr>
      </w:pPr>
    </w:p>
    <w:p w:rsidR="00677630" w:rsidRDefault="00847B45">
      <w:pPr>
        <w:pStyle w:val="TM1"/>
        <w:rPr>
          <w:noProof/>
        </w:rPr>
      </w:pPr>
      <w:r>
        <w:rPr>
          <w:b w:val="0"/>
        </w:rPr>
        <w:fldChar w:fldCharType="begin"/>
      </w:r>
      <w:r>
        <w:rPr>
          <w:b w:val="0"/>
        </w:rPr>
        <w:instrText xml:space="preserve"> TOC \o "1-2" \h \z \t "COPIESAS 1;1;COPIESAS 2;2" </w:instrText>
      </w:r>
      <w:r>
        <w:rPr>
          <w:b w:val="0"/>
        </w:rPr>
        <w:fldChar w:fldCharType="separate"/>
      </w:r>
      <w:hyperlink w:anchor="_Toc509513819" w:history="1">
        <w:r w:rsidR="00677630" w:rsidRPr="00A85FD6">
          <w:rPr>
            <w:rStyle w:val="Lienhypertexte"/>
            <w:noProof/>
          </w:rPr>
          <w:t>Avant-propos</w:t>
        </w:r>
        <w:r w:rsidR="00677630">
          <w:rPr>
            <w:noProof/>
            <w:webHidden/>
          </w:rPr>
          <w:tab/>
        </w:r>
        <w:r w:rsidR="00677630">
          <w:rPr>
            <w:noProof/>
            <w:webHidden/>
          </w:rPr>
          <w:fldChar w:fldCharType="begin"/>
        </w:r>
        <w:r w:rsidR="00677630">
          <w:rPr>
            <w:noProof/>
            <w:webHidden/>
          </w:rPr>
          <w:instrText xml:space="preserve"> PAGEREF _Toc509513819 \h </w:instrText>
        </w:r>
        <w:r w:rsidR="00677630">
          <w:rPr>
            <w:noProof/>
            <w:webHidden/>
          </w:rPr>
        </w:r>
        <w:r w:rsidR="00677630">
          <w:rPr>
            <w:noProof/>
            <w:webHidden/>
          </w:rPr>
          <w:fldChar w:fldCharType="separate"/>
        </w:r>
        <w:r w:rsidR="00677630">
          <w:rPr>
            <w:noProof/>
            <w:webHidden/>
          </w:rPr>
          <w:t>- 8 -</w:t>
        </w:r>
        <w:r w:rsidR="00677630">
          <w:rPr>
            <w:noProof/>
            <w:webHidden/>
          </w:rPr>
          <w:fldChar w:fldCharType="end"/>
        </w:r>
      </w:hyperlink>
    </w:p>
    <w:p w:rsidR="00677630" w:rsidRDefault="00794B97">
      <w:pPr>
        <w:pStyle w:val="TM1"/>
        <w:rPr>
          <w:noProof/>
        </w:rPr>
      </w:pPr>
      <w:hyperlink w:anchor="_Toc509513820" w:history="1">
        <w:r w:rsidR="00677630" w:rsidRPr="00A85FD6">
          <w:rPr>
            <w:rStyle w:val="Lienhypertexte"/>
            <w:noProof/>
          </w:rPr>
          <w:t>Chapitre 1 : Généraliser les dispositifs de l’épargne salariale dans les entreprises de moins de 50 salariés</w:t>
        </w:r>
        <w:r w:rsidR="00677630">
          <w:rPr>
            <w:noProof/>
            <w:webHidden/>
          </w:rPr>
          <w:tab/>
        </w:r>
        <w:r w:rsidR="00677630">
          <w:rPr>
            <w:noProof/>
            <w:webHidden/>
          </w:rPr>
          <w:fldChar w:fldCharType="begin"/>
        </w:r>
        <w:r w:rsidR="00677630">
          <w:rPr>
            <w:noProof/>
            <w:webHidden/>
          </w:rPr>
          <w:instrText xml:space="preserve"> PAGEREF _Toc509513820 \h </w:instrText>
        </w:r>
        <w:r w:rsidR="00677630">
          <w:rPr>
            <w:noProof/>
            <w:webHidden/>
          </w:rPr>
        </w:r>
        <w:r w:rsidR="00677630">
          <w:rPr>
            <w:noProof/>
            <w:webHidden/>
          </w:rPr>
          <w:fldChar w:fldCharType="separate"/>
        </w:r>
        <w:r w:rsidR="00677630">
          <w:rPr>
            <w:noProof/>
            <w:webHidden/>
          </w:rPr>
          <w:t>- 9 -</w:t>
        </w:r>
        <w:r w:rsidR="00677630">
          <w:rPr>
            <w:noProof/>
            <w:webHidden/>
          </w:rPr>
          <w:fldChar w:fldCharType="end"/>
        </w:r>
      </w:hyperlink>
    </w:p>
    <w:p w:rsidR="00677630" w:rsidRDefault="00794B97">
      <w:pPr>
        <w:pStyle w:val="TM2"/>
        <w:tabs>
          <w:tab w:val="right" w:pos="9062"/>
        </w:tabs>
        <w:rPr>
          <w:noProof/>
        </w:rPr>
      </w:pPr>
      <w:hyperlink w:anchor="_Toc509513821" w:history="1">
        <w:r w:rsidR="00677630" w:rsidRPr="00A85FD6">
          <w:rPr>
            <w:rStyle w:val="Lienhypertexte"/>
            <w:noProof/>
          </w:rPr>
          <w:t>Quels sont les principaux freins au développement de l’épargne salariale dans les petites entreprises ?</w:t>
        </w:r>
        <w:r w:rsidR="00677630">
          <w:rPr>
            <w:noProof/>
            <w:webHidden/>
          </w:rPr>
          <w:tab/>
        </w:r>
        <w:r w:rsidR="00677630">
          <w:rPr>
            <w:noProof/>
            <w:webHidden/>
          </w:rPr>
          <w:fldChar w:fldCharType="begin"/>
        </w:r>
        <w:r w:rsidR="00677630">
          <w:rPr>
            <w:noProof/>
            <w:webHidden/>
          </w:rPr>
          <w:instrText xml:space="preserve"> PAGEREF _Toc509513821 \h </w:instrText>
        </w:r>
        <w:r w:rsidR="00677630">
          <w:rPr>
            <w:noProof/>
            <w:webHidden/>
          </w:rPr>
        </w:r>
        <w:r w:rsidR="00677630">
          <w:rPr>
            <w:noProof/>
            <w:webHidden/>
          </w:rPr>
          <w:fldChar w:fldCharType="separate"/>
        </w:r>
        <w:r w:rsidR="00677630">
          <w:rPr>
            <w:noProof/>
            <w:webHidden/>
          </w:rPr>
          <w:t>- 10 -</w:t>
        </w:r>
        <w:r w:rsidR="00677630">
          <w:rPr>
            <w:noProof/>
            <w:webHidden/>
          </w:rPr>
          <w:fldChar w:fldCharType="end"/>
        </w:r>
      </w:hyperlink>
    </w:p>
    <w:p w:rsidR="00677630" w:rsidRDefault="00794B97">
      <w:pPr>
        <w:pStyle w:val="TM2"/>
        <w:tabs>
          <w:tab w:val="right" w:pos="9062"/>
        </w:tabs>
        <w:rPr>
          <w:noProof/>
        </w:rPr>
      </w:pPr>
      <w:hyperlink w:anchor="_Toc509513822" w:history="1">
        <w:r w:rsidR="00677630" w:rsidRPr="00A85FD6">
          <w:rPr>
            <w:rStyle w:val="Lienhypertexte"/>
            <w:noProof/>
          </w:rPr>
          <w:t>Objectif de généralisation de l’épargne salariale</w:t>
        </w:r>
        <w:r w:rsidR="00677630">
          <w:rPr>
            <w:noProof/>
            <w:webHidden/>
          </w:rPr>
          <w:tab/>
        </w:r>
        <w:r w:rsidR="00677630">
          <w:rPr>
            <w:noProof/>
            <w:webHidden/>
          </w:rPr>
          <w:fldChar w:fldCharType="begin"/>
        </w:r>
        <w:r w:rsidR="00677630">
          <w:rPr>
            <w:noProof/>
            <w:webHidden/>
          </w:rPr>
          <w:instrText xml:space="preserve"> PAGEREF _Toc509513822 \h </w:instrText>
        </w:r>
        <w:r w:rsidR="00677630">
          <w:rPr>
            <w:noProof/>
            <w:webHidden/>
          </w:rPr>
        </w:r>
        <w:r w:rsidR="00677630">
          <w:rPr>
            <w:noProof/>
            <w:webHidden/>
          </w:rPr>
          <w:fldChar w:fldCharType="separate"/>
        </w:r>
        <w:r w:rsidR="00677630">
          <w:rPr>
            <w:noProof/>
            <w:webHidden/>
          </w:rPr>
          <w:t>- 10 -</w:t>
        </w:r>
        <w:r w:rsidR="00677630">
          <w:rPr>
            <w:noProof/>
            <w:webHidden/>
          </w:rPr>
          <w:fldChar w:fldCharType="end"/>
        </w:r>
      </w:hyperlink>
    </w:p>
    <w:p w:rsidR="00677630" w:rsidRDefault="00794B97">
      <w:pPr>
        <w:pStyle w:val="TM1"/>
        <w:rPr>
          <w:noProof/>
        </w:rPr>
      </w:pPr>
      <w:hyperlink w:anchor="_Toc509513823" w:history="1">
        <w:r w:rsidR="00677630" w:rsidRPr="00A85FD6">
          <w:rPr>
            <w:rStyle w:val="Lienhypertexte"/>
            <w:noProof/>
          </w:rPr>
          <w:t>Chapitre 2 : Réviser la formule de calcul de la réserve spéciale de participation en vue de la clarifier</w:t>
        </w:r>
        <w:r w:rsidR="00677630">
          <w:rPr>
            <w:noProof/>
            <w:webHidden/>
          </w:rPr>
          <w:tab/>
        </w:r>
        <w:r w:rsidR="00677630">
          <w:rPr>
            <w:noProof/>
            <w:webHidden/>
          </w:rPr>
          <w:fldChar w:fldCharType="begin"/>
        </w:r>
        <w:r w:rsidR="00677630">
          <w:rPr>
            <w:noProof/>
            <w:webHidden/>
          </w:rPr>
          <w:instrText xml:space="preserve"> PAGEREF _Toc509513823 \h </w:instrText>
        </w:r>
        <w:r w:rsidR="00677630">
          <w:rPr>
            <w:noProof/>
            <w:webHidden/>
          </w:rPr>
        </w:r>
        <w:r w:rsidR="00677630">
          <w:rPr>
            <w:noProof/>
            <w:webHidden/>
          </w:rPr>
          <w:fldChar w:fldCharType="separate"/>
        </w:r>
        <w:r w:rsidR="00677630">
          <w:rPr>
            <w:noProof/>
            <w:webHidden/>
          </w:rPr>
          <w:t>- 15 -</w:t>
        </w:r>
        <w:r w:rsidR="00677630">
          <w:rPr>
            <w:noProof/>
            <w:webHidden/>
          </w:rPr>
          <w:fldChar w:fldCharType="end"/>
        </w:r>
      </w:hyperlink>
    </w:p>
    <w:p w:rsidR="00677630" w:rsidRDefault="00794B97">
      <w:pPr>
        <w:pStyle w:val="TM2"/>
        <w:tabs>
          <w:tab w:val="right" w:pos="9062"/>
        </w:tabs>
        <w:rPr>
          <w:noProof/>
        </w:rPr>
      </w:pPr>
      <w:hyperlink w:anchor="_Toc509513824" w:history="1">
        <w:r w:rsidR="00677630" w:rsidRPr="00A85FD6">
          <w:rPr>
            <w:rStyle w:val="Lienhypertexte"/>
            <w:noProof/>
          </w:rPr>
          <w:t>Etat des lieux :</w:t>
        </w:r>
        <w:r w:rsidR="00677630">
          <w:rPr>
            <w:noProof/>
            <w:webHidden/>
          </w:rPr>
          <w:tab/>
        </w:r>
        <w:r w:rsidR="00677630">
          <w:rPr>
            <w:noProof/>
            <w:webHidden/>
          </w:rPr>
          <w:fldChar w:fldCharType="begin"/>
        </w:r>
        <w:r w:rsidR="00677630">
          <w:rPr>
            <w:noProof/>
            <w:webHidden/>
          </w:rPr>
          <w:instrText xml:space="preserve"> PAGEREF _Toc509513824 \h </w:instrText>
        </w:r>
        <w:r w:rsidR="00677630">
          <w:rPr>
            <w:noProof/>
            <w:webHidden/>
          </w:rPr>
        </w:r>
        <w:r w:rsidR="00677630">
          <w:rPr>
            <w:noProof/>
            <w:webHidden/>
          </w:rPr>
          <w:fldChar w:fldCharType="separate"/>
        </w:r>
        <w:r w:rsidR="00677630">
          <w:rPr>
            <w:noProof/>
            <w:webHidden/>
          </w:rPr>
          <w:t>- 16 -</w:t>
        </w:r>
        <w:r w:rsidR="00677630">
          <w:rPr>
            <w:noProof/>
            <w:webHidden/>
          </w:rPr>
          <w:fldChar w:fldCharType="end"/>
        </w:r>
      </w:hyperlink>
    </w:p>
    <w:p w:rsidR="00677630" w:rsidRDefault="00794B97">
      <w:pPr>
        <w:pStyle w:val="TM2"/>
        <w:tabs>
          <w:tab w:val="right" w:pos="9062"/>
        </w:tabs>
        <w:rPr>
          <w:noProof/>
        </w:rPr>
      </w:pPr>
      <w:hyperlink w:anchor="_Toc509513825" w:history="1">
        <w:r w:rsidR="00677630" w:rsidRPr="00A85FD6">
          <w:rPr>
            <w:rStyle w:val="Lienhypertexte"/>
            <w:noProof/>
          </w:rPr>
          <w:t>Les obstacles au maintien de la formule actuelle de la réserve spéciale de participation</w:t>
        </w:r>
        <w:r w:rsidR="00677630">
          <w:rPr>
            <w:noProof/>
            <w:webHidden/>
          </w:rPr>
          <w:tab/>
        </w:r>
        <w:r w:rsidR="00677630">
          <w:rPr>
            <w:noProof/>
            <w:webHidden/>
          </w:rPr>
          <w:fldChar w:fldCharType="begin"/>
        </w:r>
        <w:r w:rsidR="00677630">
          <w:rPr>
            <w:noProof/>
            <w:webHidden/>
          </w:rPr>
          <w:instrText xml:space="preserve"> PAGEREF _Toc509513825 \h </w:instrText>
        </w:r>
        <w:r w:rsidR="00677630">
          <w:rPr>
            <w:noProof/>
            <w:webHidden/>
          </w:rPr>
        </w:r>
        <w:r w:rsidR="00677630">
          <w:rPr>
            <w:noProof/>
            <w:webHidden/>
          </w:rPr>
          <w:fldChar w:fldCharType="separate"/>
        </w:r>
        <w:r w:rsidR="00677630">
          <w:rPr>
            <w:noProof/>
            <w:webHidden/>
          </w:rPr>
          <w:t>- 19 -</w:t>
        </w:r>
        <w:r w:rsidR="00677630">
          <w:rPr>
            <w:noProof/>
            <w:webHidden/>
          </w:rPr>
          <w:fldChar w:fldCharType="end"/>
        </w:r>
      </w:hyperlink>
    </w:p>
    <w:p w:rsidR="00677630" w:rsidRDefault="00794B97">
      <w:pPr>
        <w:pStyle w:val="TM2"/>
        <w:tabs>
          <w:tab w:val="right" w:pos="9062"/>
        </w:tabs>
        <w:rPr>
          <w:noProof/>
        </w:rPr>
      </w:pPr>
      <w:hyperlink w:anchor="_Toc509513826" w:history="1">
        <w:r w:rsidR="00677630" w:rsidRPr="00A85FD6">
          <w:rPr>
            <w:rStyle w:val="Lienhypertexte"/>
            <w:noProof/>
          </w:rPr>
          <w:t>L’objectif de la modification de la formule de calcul</w:t>
        </w:r>
        <w:r w:rsidR="00677630">
          <w:rPr>
            <w:noProof/>
            <w:webHidden/>
          </w:rPr>
          <w:tab/>
        </w:r>
        <w:r w:rsidR="00677630">
          <w:rPr>
            <w:noProof/>
            <w:webHidden/>
          </w:rPr>
          <w:fldChar w:fldCharType="begin"/>
        </w:r>
        <w:r w:rsidR="00677630">
          <w:rPr>
            <w:noProof/>
            <w:webHidden/>
          </w:rPr>
          <w:instrText xml:space="preserve"> PAGEREF _Toc509513826 \h </w:instrText>
        </w:r>
        <w:r w:rsidR="00677630">
          <w:rPr>
            <w:noProof/>
            <w:webHidden/>
          </w:rPr>
        </w:r>
        <w:r w:rsidR="00677630">
          <w:rPr>
            <w:noProof/>
            <w:webHidden/>
          </w:rPr>
          <w:fldChar w:fldCharType="separate"/>
        </w:r>
        <w:r w:rsidR="00677630">
          <w:rPr>
            <w:noProof/>
            <w:webHidden/>
          </w:rPr>
          <w:t>- 19 -</w:t>
        </w:r>
        <w:r w:rsidR="00677630">
          <w:rPr>
            <w:noProof/>
            <w:webHidden/>
          </w:rPr>
          <w:fldChar w:fldCharType="end"/>
        </w:r>
      </w:hyperlink>
    </w:p>
    <w:p w:rsidR="00677630" w:rsidRDefault="00794B97">
      <w:pPr>
        <w:pStyle w:val="TM2"/>
        <w:tabs>
          <w:tab w:val="right" w:pos="9062"/>
        </w:tabs>
        <w:rPr>
          <w:noProof/>
        </w:rPr>
      </w:pPr>
      <w:hyperlink w:anchor="_Toc509513827" w:history="1">
        <w:r w:rsidR="00677630" w:rsidRPr="00A85FD6">
          <w:rPr>
            <w:rStyle w:val="Lienhypertexte"/>
            <w:noProof/>
          </w:rPr>
          <w:t>Moyen n°2 : Une formule de calcul simplifiée reprenant la proposition COPIESAS 2014</w:t>
        </w:r>
        <w:r w:rsidR="00677630">
          <w:rPr>
            <w:noProof/>
            <w:webHidden/>
          </w:rPr>
          <w:tab/>
        </w:r>
        <w:r w:rsidR="00677630">
          <w:rPr>
            <w:noProof/>
            <w:webHidden/>
          </w:rPr>
          <w:fldChar w:fldCharType="begin"/>
        </w:r>
        <w:r w:rsidR="00677630">
          <w:rPr>
            <w:noProof/>
            <w:webHidden/>
          </w:rPr>
          <w:instrText xml:space="preserve"> PAGEREF _Toc509513827 \h </w:instrText>
        </w:r>
        <w:r w:rsidR="00677630">
          <w:rPr>
            <w:noProof/>
            <w:webHidden/>
          </w:rPr>
        </w:r>
        <w:r w:rsidR="00677630">
          <w:rPr>
            <w:noProof/>
            <w:webHidden/>
          </w:rPr>
          <w:fldChar w:fldCharType="separate"/>
        </w:r>
        <w:r w:rsidR="00677630">
          <w:rPr>
            <w:noProof/>
            <w:webHidden/>
          </w:rPr>
          <w:t>- 22 -</w:t>
        </w:r>
        <w:r w:rsidR="00677630">
          <w:rPr>
            <w:noProof/>
            <w:webHidden/>
          </w:rPr>
          <w:fldChar w:fldCharType="end"/>
        </w:r>
      </w:hyperlink>
    </w:p>
    <w:p w:rsidR="00677630" w:rsidRDefault="00794B97">
      <w:pPr>
        <w:pStyle w:val="TM2"/>
        <w:tabs>
          <w:tab w:val="right" w:pos="9062"/>
        </w:tabs>
        <w:rPr>
          <w:noProof/>
        </w:rPr>
      </w:pPr>
      <w:hyperlink w:anchor="_Toc509513828" w:history="1">
        <w:r w:rsidR="00677630" w:rsidRPr="00A85FD6">
          <w:rPr>
            <w:rStyle w:val="Lienhypertexte"/>
            <w:noProof/>
          </w:rPr>
          <w:t>Moyen n°3 : Une formule de calcul d’ordre public ou supplétive ?</w:t>
        </w:r>
        <w:r w:rsidR="00677630">
          <w:rPr>
            <w:noProof/>
            <w:webHidden/>
          </w:rPr>
          <w:tab/>
        </w:r>
        <w:r w:rsidR="00677630">
          <w:rPr>
            <w:noProof/>
            <w:webHidden/>
          </w:rPr>
          <w:fldChar w:fldCharType="begin"/>
        </w:r>
        <w:r w:rsidR="00677630">
          <w:rPr>
            <w:noProof/>
            <w:webHidden/>
          </w:rPr>
          <w:instrText xml:space="preserve"> PAGEREF _Toc509513828 \h </w:instrText>
        </w:r>
        <w:r w:rsidR="00677630">
          <w:rPr>
            <w:noProof/>
            <w:webHidden/>
          </w:rPr>
        </w:r>
        <w:r w:rsidR="00677630">
          <w:rPr>
            <w:noProof/>
            <w:webHidden/>
          </w:rPr>
          <w:fldChar w:fldCharType="separate"/>
        </w:r>
        <w:r w:rsidR="00677630">
          <w:rPr>
            <w:noProof/>
            <w:webHidden/>
          </w:rPr>
          <w:t>- 22 -</w:t>
        </w:r>
        <w:r w:rsidR="00677630">
          <w:rPr>
            <w:noProof/>
            <w:webHidden/>
          </w:rPr>
          <w:fldChar w:fldCharType="end"/>
        </w:r>
      </w:hyperlink>
    </w:p>
    <w:p w:rsidR="00677630" w:rsidRDefault="00794B97">
      <w:pPr>
        <w:pStyle w:val="TM1"/>
        <w:rPr>
          <w:noProof/>
        </w:rPr>
      </w:pPr>
      <w:hyperlink w:anchor="_Toc509513829" w:history="1">
        <w:r w:rsidR="00677630" w:rsidRPr="00A85FD6">
          <w:rPr>
            <w:rStyle w:val="Lienhypertexte"/>
            <w:noProof/>
          </w:rPr>
          <w:t>Chapitre 3 : Développer l’investissement à long terme de l’épargne salariale</w:t>
        </w:r>
        <w:r w:rsidR="00677630">
          <w:rPr>
            <w:noProof/>
            <w:webHidden/>
          </w:rPr>
          <w:tab/>
        </w:r>
        <w:r w:rsidR="00677630">
          <w:rPr>
            <w:noProof/>
            <w:webHidden/>
          </w:rPr>
          <w:fldChar w:fldCharType="begin"/>
        </w:r>
        <w:r w:rsidR="00677630">
          <w:rPr>
            <w:noProof/>
            <w:webHidden/>
          </w:rPr>
          <w:instrText xml:space="preserve"> PAGEREF _Toc509513829 \h </w:instrText>
        </w:r>
        <w:r w:rsidR="00677630">
          <w:rPr>
            <w:noProof/>
            <w:webHidden/>
          </w:rPr>
        </w:r>
        <w:r w:rsidR="00677630">
          <w:rPr>
            <w:noProof/>
            <w:webHidden/>
          </w:rPr>
          <w:fldChar w:fldCharType="separate"/>
        </w:r>
        <w:r w:rsidR="00677630">
          <w:rPr>
            <w:noProof/>
            <w:webHidden/>
          </w:rPr>
          <w:t>- 24 -</w:t>
        </w:r>
        <w:r w:rsidR="00677630">
          <w:rPr>
            <w:noProof/>
            <w:webHidden/>
          </w:rPr>
          <w:fldChar w:fldCharType="end"/>
        </w:r>
      </w:hyperlink>
    </w:p>
    <w:p w:rsidR="00677630" w:rsidRDefault="00794B97">
      <w:pPr>
        <w:pStyle w:val="TM2"/>
        <w:tabs>
          <w:tab w:val="right" w:pos="9062"/>
        </w:tabs>
        <w:rPr>
          <w:noProof/>
        </w:rPr>
      </w:pPr>
      <w:hyperlink w:anchor="_Toc509513830" w:history="1">
        <w:r w:rsidR="00677630" w:rsidRPr="00A85FD6">
          <w:rPr>
            <w:rStyle w:val="Lienhypertexte"/>
            <w:noProof/>
          </w:rPr>
          <w:t>Constat : des besoins ciblés de financement des entreprises</w:t>
        </w:r>
        <w:r w:rsidR="00677630">
          <w:rPr>
            <w:noProof/>
            <w:webHidden/>
          </w:rPr>
          <w:tab/>
        </w:r>
        <w:r w:rsidR="00677630">
          <w:rPr>
            <w:noProof/>
            <w:webHidden/>
          </w:rPr>
          <w:fldChar w:fldCharType="begin"/>
        </w:r>
        <w:r w:rsidR="00677630">
          <w:rPr>
            <w:noProof/>
            <w:webHidden/>
          </w:rPr>
          <w:instrText xml:space="preserve"> PAGEREF _Toc509513830 \h </w:instrText>
        </w:r>
        <w:r w:rsidR="00677630">
          <w:rPr>
            <w:noProof/>
            <w:webHidden/>
          </w:rPr>
        </w:r>
        <w:r w:rsidR="00677630">
          <w:rPr>
            <w:noProof/>
            <w:webHidden/>
          </w:rPr>
          <w:fldChar w:fldCharType="separate"/>
        </w:r>
        <w:r w:rsidR="00677630">
          <w:rPr>
            <w:noProof/>
            <w:webHidden/>
          </w:rPr>
          <w:t>- 24 -</w:t>
        </w:r>
        <w:r w:rsidR="00677630">
          <w:rPr>
            <w:noProof/>
            <w:webHidden/>
          </w:rPr>
          <w:fldChar w:fldCharType="end"/>
        </w:r>
      </w:hyperlink>
    </w:p>
    <w:p w:rsidR="00677630" w:rsidRDefault="00794B97">
      <w:pPr>
        <w:pStyle w:val="TM2"/>
        <w:tabs>
          <w:tab w:val="right" w:pos="9062"/>
        </w:tabs>
        <w:rPr>
          <w:noProof/>
        </w:rPr>
      </w:pPr>
      <w:hyperlink w:anchor="_Toc509513831" w:history="1">
        <w:r w:rsidR="00677630" w:rsidRPr="00A85FD6">
          <w:rPr>
            <w:rStyle w:val="Lienhypertexte"/>
            <w:noProof/>
          </w:rPr>
          <w:t>Quels sont les principaux freins au développement de l’investissement à long terme de l’épargne salariale ?</w:t>
        </w:r>
        <w:r w:rsidR="00677630">
          <w:rPr>
            <w:noProof/>
            <w:webHidden/>
          </w:rPr>
          <w:tab/>
        </w:r>
        <w:r w:rsidR="00677630">
          <w:rPr>
            <w:noProof/>
            <w:webHidden/>
          </w:rPr>
          <w:fldChar w:fldCharType="begin"/>
        </w:r>
        <w:r w:rsidR="00677630">
          <w:rPr>
            <w:noProof/>
            <w:webHidden/>
          </w:rPr>
          <w:instrText xml:space="preserve"> PAGEREF _Toc509513831 \h </w:instrText>
        </w:r>
        <w:r w:rsidR="00677630">
          <w:rPr>
            <w:noProof/>
            <w:webHidden/>
          </w:rPr>
        </w:r>
        <w:r w:rsidR="00677630">
          <w:rPr>
            <w:noProof/>
            <w:webHidden/>
          </w:rPr>
          <w:fldChar w:fldCharType="separate"/>
        </w:r>
        <w:r w:rsidR="00677630">
          <w:rPr>
            <w:noProof/>
            <w:webHidden/>
          </w:rPr>
          <w:t>- 24 -</w:t>
        </w:r>
        <w:r w:rsidR="00677630">
          <w:rPr>
            <w:noProof/>
            <w:webHidden/>
          </w:rPr>
          <w:fldChar w:fldCharType="end"/>
        </w:r>
      </w:hyperlink>
    </w:p>
    <w:p w:rsidR="00677630" w:rsidRDefault="00794B97">
      <w:pPr>
        <w:pStyle w:val="TM2"/>
        <w:tabs>
          <w:tab w:val="right" w:pos="9062"/>
        </w:tabs>
        <w:rPr>
          <w:noProof/>
        </w:rPr>
      </w:pPr>
      <w:hyperlink w:anchor="_Toc509513832" w:history="1">
        <w:r w:rsidR="00677630" w:rsidRPr="00A85FD6">
          <w:rPr>
            <w:rStyle w:val="Lienhypertexte"/>
            <w:noProof/>
          </w:rPr>
          <w:t>Moyen n°1 : Renforcer l’attractivité de l’épargne retraite</w:t>
        </w:r>
        <w:r w:rsidR="00677630">
          <w:rPr>
            <w:noProof/>
            <w:webHidden/>
          </w:rPr>
          <w:tab/>
        </w:r>
        <w:r w:rsidR="00677630">
          <w:rPr>
            <w:noProof/>
            <w:webHidden/>
          </w:rPr>
          <w:fldChar w:fldCharType="begin"/>
        </w:r>
        <w:r w:rsidR="00677630">
          <w:rPr>
            <w:noProof/>
            <w:webHidden/>
          </w:rPr>
          <w:instrText xml:space="preserve"> PAGEREF _Toc509513832 \h </w:instrText>
        </w:r>
        <w:r w:rsidR="00677630">
          <w:rPr>
            <w:noProof/>
            <w:webHidden/>
          </w:rPr>
        </w:r>
        <w:r w:rsidR="00677630">
          <w:rPr>
            <w:noProof/>
            <w:webHidden/>
          </w:rPr>
          <w:fldChar w:fldCharType="separate"/>
        </w:r>
        <w:r w:rsidR="00677630">
          <w:rPr>
            <w:noProof/>
            <w:webHidden/>
          </w:rPr>
          <w:t>- 25 -</w:t>
        </w:r>
        <w:r w:rsidR="00677630">
          <w:rPr>
            <w:noProof/>
            <w:webHidden/>
          </w:rPr>
          <w:fldChar w:fldCharType="end"/>
        </w:r>
      </w:hyperlink>
    </w:p>
    <w:p w:rsidR="00677630" w:rsidRDefault="00794B97">
      <w:pPr>
        <w:pStyle w:val="TM2"/>
        <w:tabs>
          <w:tab w:val="right" w:pos="9062"/>
        </w:tabs>
        <w:rPr>
          <w:noProof/>
        </w:rPr>
      </w:pPr>
      <w:hyperlink w:anchor="_Toc509513833" w:history="1">
        <w:r w:rsidR="00677630" w:rsidRPr="00A85FD6">
          <w:rPr>
            <w:rStyle w:val="Lienhypertexte"/>
            <w:noProof/>
          </w:rPr>
          <w:t>Moyen n°2 : Renforcer la portabilité des dispositifs d’épargne retraite</w:t>
        </w:r>
        <w:r w:rsidR="00677630">
          <w:rPr>
            <w:noProof/>
            <w:webHidden/>
          </w:rPr>
          <w:tab/>
        </w:r>
        <w:r w:rsidR="00677630">
          <w:rPr>
            <w:noProof/>
            <w:webHidden/>
          </w:rPr>
          <w:fldChar w:fldCharType="begin"/>
        </w:r>
        <w:r w:rsidR="00677630">
          <w:rPr>
            <w:noProof/>
            <w:webHidden/>
          </w:rPr>
          <w:instrText xml:space="preserve"> PAGEREF _Toc509513833 \h </w:instrText>
        </w:r>
        <w:r w:rsidR="00677630">
          <w:rPr>
            <w:noProof/>
            <w:webHidden/>
          </w:rPr>
        </w:r>
        <w:r w:rsidR="00677630">
          <w:rPr>
            <w:noProof/>
            <w:webHidden/>
          </w:rPr>
          <w:fldChar w:fldCharType="separate"/>
        </w:r>
        <w:r w:rsidR="00677630">
          <w:rPr>
            <w:noProof/>
            <w:webHidden/>
          </w:rPr>
          <w:t>- 26 -</w:t>
        </w:r>
        <w:r w:rsidR="00677630">
          <w:rPr>
            <w:noProof/>
            <w:webHidden/>
          </w:rPr>
          <w:fldChar w:fldCharType="end"/>
        </w:r>
      </w:hyperlink>
    </w:p>
    <w:p w:rsidR="00677630" w:rsidRDefault="00794B97">
      <w:pPr>
        <w:pStyle w:val="TM2"/>
        <w:tabs>
          <w:tab w:val="right" w:pos="9062"/>
        </w:tabs>
        <w:rPr>
          <w:noProof/>
        </w:rPr>
      </w:pPr>
      <w:hyperlink w:anchor="_Toc509513834" w:history="1">
        <w:r w:rsidR="00677630" w:rsidRPr="00A85FD6">
          <w:rPr>
            <w:rStyle w:val="Lienhypertexte"/>
            <w:noProof/>
          </w:rPr>
          <w:t>Moyen n°3 : Orienter l’épargne salariale de long terme vers des investissements responsables et solidaires et vers l’économie productive</w:t>
        </w:r>
        <w:r w:rsidR="00677630">
          <w:rPr>
            <w:noProof/>
            <w:webHidden/>
          </w:rPr>
          <w:tab/>
        </w:r>
        <w:r w:rsidR="00677630">
          <w:rPr>
            <w:noProof/>
            <w:webHidden/>
          </w:rPr>
          <w:fldChar w:fldCharType="begin"/>
        </w:r>
        <w:r w:rsidR="00677630">
          <w:rPr>
            <w:noProof/>
            <w:webHidden/>
          </w:rPr>
          <w:instrText xml:space="preserve"> PAGEREF _Toc509513834 \h </w:instrText>
        </w:r>
        <w:r w:rsidR="00677630">
          <w:rPr>
            <w:noProof/>
            <w:webHidden/>
          </w:rPr>
        </w:r>
        <w:r w:rsidR="00677630">
          <w:rPr>
            <w:noProof/>
            <w:webHidden/>
          </w:rPr>
          <w:fldChar w:fldCharType="separate"/>
        </w:r>
        <w:r w:rsidR="00677630">
          <w:rPr>
            <w:noProof/>
            <w:webHidden/>
          </w:rPr>
          <w:t>- 27 -</w:t>
        </w:r>
        <w:r w:rsidR="00677630">
          <w:rPr>
            <w:noProof/>
            <w:webHidden/>
          </w:rPr>
          <w:fldChar w:fldCharType="end"/>
        </w:r>
      </w:hyperlink>
    </w:p>
    <w:p w:rsidR="00677630" w:rsidRDefault="00794B97">
      <w:pPr>
        <w:pStyle w:val="TM1"/>
        <w:rPr>
          <w:noProof/>
        </w:rPr>
      </w:pPr>
      <w:hyperlink w:anchor="_Toc509513835" w:history="1">
        <w:r w:rsidR="00677630" w:rsidRPr="00A85FD6">
          <w:rPr>
            <w:rStyle w:val="Lienhypertexte"/>
            <w:noProof/>
          </w:rPr>
          <w:t>Chapitre 4 : Développer l’attractivité de l’actionnariat salarié et améliorer la gouvernance</w:t>
        </w:r>
        <w:r w:rsidR="00677630">
          <w:rPr>
            <w:noProof/>
            <w:webHidden/>
          </w:rPr>
          <w:tab/>
        </w:r>
        <w:r w:rsidR="00677630">
          <w:rPr>
            <w:noProof/>
            <w:webHidden/>
          </w:rPr>
          <w:fldChar w:fldCharType="begin"/>
        </w:r>
        <w:r w:rsidR="00677630">
          <w:rPr>
            <w:noProof/>
            <w:webHidden/>
          </w:rPr>
          <w:instrText xml:space="preserve"> PAGEREF _Toc509513835 \h </w:instrText>
        </w:r>
        <w:r w:rsidR="00677630">
          <w:rPr>
            <w:noProof/>
            <w:webHidden/>
          </w:rPr>
        </w:r>
        <w:r w:rsidR="00677630">
          <w:rPr>
            <w:noProof/>
            <w:webHidden/>
          </w:rPr>
          <w:fldChar w:fldCharType="separate"/>
        </w:r>
        <w:r w:rsidR="00677630">
          <w:rPr>
            <w:noProof/>
            <w:webHidden/>
          </w:rPr>
          <w:t>- 29 -</w:t>
        </w:r>
        <w:r w:rsidR="00677630">
          <w:rPr>
            <w:noProof/>
            <w:webHidden/>
          </w:rPr>
          <w:fldChar w:fldCharType="end"/>
        </w:r>
      </w:hyperlink>
    </w:p>
    <w:p w:rsidR="00677630" w:rsidRDefault="00794B97">
      <w:pPr>
        <w:pStyle w:val="TM2"/>
        <w:tabs>
          <w:tab w:val="right" w:pos="9062"/>
        </w:tabs>
        <w:rPr>
          <w:noProof/>
        </w:rPr>
      </w:pPr>
      <w:hyperlink w:anchor="_Toc509513836" w:history="1">
        <w:r w:rsidR="00677630" w:rsidRPr="00A85FD6">
          <w:rPr>
            <w:rStyle w:val="Lienhypertexte"/>
            <w:noProof/>
            <w:lang w:eastAsia="fr-FR"/>
          </w:rPr>
          <w:t>Constat : l’actionnariat salarié très développé en France, dans des entreprises plus performantes</w:t>
        </w:r>
        <w:r w:rsidR="00677630">
          <w:rPr>
            <w:noProof/>
            <w:webHidden/>
          </w:rPr>
          <w:tab/>
        </w:r>
        <w:r w:rsidR="00677630">
          <w:rPr>
            <w:noProof/>
            <w:webHidden/>
          </w:rPr>
          <w:fldChar w:fldCharType="begin"/>
        </w:r>
        <w:r w:rsidR="00677630">
          <w:rPr>
            <w:noProof/>
            <w:webHidden/>
          </w:rPr>
          <w:instrText xml:space="preserve"> PAGEREF _Toc509513836 \h </w:instrText>
        </w:r>
        <w:r w:rsidR="00677630">
          <w:rPr>
            <w:noProof/>
            <w:webHidden/>
          </w:rPr>
        </w:r>
        <w:r w:rsidR="00677630">
          <w:rPr>
            <w:noProof/>
            <w:webHidden/>
          </w:rPr>
          <w:fldChar w:fldCharType="separate"/>
        </w:r>
        <w:r w:rsidR="00677630">
          <w:rPr>
            <w:noProof/>
            <w:webHidden/>
          </w:rPr>
          <w:t>- 29 -</w:t>
        </w:r>
        <w:r w:rsidR="00677630">
          <w:rPr>
            <w:noProof/>
            <w:webHidden/>
          </w:rPr>
          <w:fldChar w:fldCharType="end"/>
        </w:r>
      </w:hyperlink>
    </w:p>
    <w:p w:rsidR="00677630" w:rsidRDefault="00794B97">
      <w:pPr>
        <w:pStyle w:val="TM2"/>
        <w:tabs>
          <w:tab w:val="right" w:pos="9062"/>
        </w:tabs>
        <w:rPr>
          <w:noProof/>
        </w:rPr>
      </w:pPr>
      <w:hyperlink w:anchor="_Toc509513837" w:history="1">
        <w:r w:rsidR="00677630" w:rsidRPr="00A85FD6">
          <w:rPr>
            <w:rStyle w:val="Lienhypertexte"/>
            <w:noProof/>
          </w:rPr>
          <w:t>Quels sont les principaux freins au développement de l’actionnariat salarié ?</w:t>
        </w:r>
        <w:r w:rsidR="00677630">
          <w:rPr>
            <w:noProof/>
            <w:webHidden/>
          </w:rPr>
          <w:tab/>
        </w:r>
        <w:r w:rsidR="00677630">
          <w:rPr>
            <w:noProof/>
            <w:webHidden/>
          </w:rPr>
          <w:fldChar w:fldCharType="begin"/>
        </w:r>
        <w:r w:rsidR="00677630">
          <w:rPr>
            <w:noProof/>
            <w:webHidden/>
          </w:rPr>
          <w:instrText xml:space="preserve"> PAGEREF _Toc509513837 \h </w:instrText>
        </w:r>
        <w:r w:rsidR="00677630">
          <w:rPr>
            <w:noProof/>
            <w:webHidden/>
          </w:rPr>
        </w:r>
        <w:r w:rsidR="00677630">
          <w:rPr>
            <w:noProof/>
            <w:webHidden/>
          </w:rPr>
          <w:fldChar w:fldCharType="separate"/>
        </w:r>
        <w:r w:rsidR="00677630">
          <w:rPr>
            <w:noProof/>
            <w:webHidden/>
          </w:rPr>
          <w:t>- 30 -</w:t>
        </w:r>
        <w:r w:rsidR="00677630">
          <w:rPr>
            <w:noProof/>
            <w:webHidden/>
          </w:rPr>
          <w:fldChar w:fldCharType="end"/>
        </w:r>
      </w:hyperlink>
    </w:p>
    <w:p w:rsidR="00677630" w:rsidRDefault="00794B97">
      <w:pPr>
        <w:pStyle w:val="TM2"/>
        <w:tabs>
          <w:tab w:val="right" w:pos="9062"/>
        </w:tabs>
        <w:rPr>
          <w:noProof/>
        </w:rPr>
      </w:pPr>
      <w:hyperlink w:anchor="_Toc509513838" w:history="1">
        <w:r w:rsidR="00677630" w:rsidRPr="00A85FD6">
          <w:rPr>
            <w:rStyle w:val="Lienhypertexte"/>
            <w:noProof/>
          </w:rPr>
          <w:t>Moyen n°1 : Encourager les dispositifs d’actionnariat salarié et renforcer leur attractivité</w:t>
        </w:r>
        <w:r w:rsidR="00677630">
          <w:rPr>
            <w:noProof/>
            <w:webHidden/>
          </w:rPr>
          <w:tab/>
        </w:r>
        <w:r w:rsidR="00677630">
          <w:rPr>
            <w:noProof/>
            <w:webHidden/>
          </w:rPr>
          <w:fldChar w:fldCharType="begin"/>
        </w:r>
        <w:r w:rsidR="00677630">
          <w:rPr>
            <w:noProof/>
            <w:webHidden/>
          </w:rPr>
          <w:instrText xml:space="preserve"> PAGEREF _Toc509513838 \h </w:instrText>
        </w:r>
        <w:r w:rsidR="00677630">
          <w:rPr>
            <w:noProof/>
            <w:webHidden/>
          </w:rPr>
        </w:r>
        <w:r w:rsidR="00677630">
          <w:rPr>
            <w:noProof/>
            <w:webHidden/>
          </w:rPr>
          <w:fldChar w:fldCharType="separate"/>
        </w:r>
        <w:r w:rsidR="00677630">
          <w:rPr>
            <w:noProof/>
            <w:webHidden/>
          </w:rPr>
          <w:t>- 30 -</w:t>
        </w:r>
        <w:r w:rsidR="00677630">
          <w:rPr>
            <w:noProof/>
            <w:webHidden/>
          </w:rPr>
          <w:fldChar w:fldCharType="end"/>
        </w:r>
      </w:hyperlink>
    </w:p>
    <w:p w:rsidR="00677630" w:rsidRDefault="00794B97">
      <w:pPr>
        <w:pStyle w:val="TM2"/>
        <w:tabs>
          <w:tab w:val="right" w:pos="9062"/>
        </w:tabs>
        <w:rPr>
          <w:noProof/>
        </w:rPr>
      </w:pPr>
      <w:hyperlink w:anchor="_Toc509513839" w:history="1">
        <w:r w:rsidR="00677630" w:rsidRPr="00A85FD6">
          <w:rPr>
            <w:rStyle w:val="Lienhypertexte"/>
            <w:noProof/>
          </w:rPr>
          <w:t>Moyen n°2 : Promouvoir l’actionnariat salarié dans les sociétés non cotées</w:t>
        </w:r>
        <w:r w:rsidR="00677630">
          <w:rPr>
            <w:noProof/>
            <w:webHidden/>
          </w:rPr>
          <w:tab/>
        </w:r>
        <w:r w:rsidR="00677630">
          <w:rPr>
            <w:noProof/>
            <w:webHidden/>
          </w:rPr>
          <w:fldChar w:fldCharType="begin"/>
        </w:r>
        <w:r w:rsidR="00677630">
          <w:rPr>
            <w:noProof/>
            <w:webHidden/>
          </w:rPr>
          <w:instrText xml:space="preserve"> PAGEREF _Toc509513839 \h </w:instrText>
        </w:r>
        <w:r w:rsidR="00677630">
          <w:rPr>
            <w:noProof/>
            <w:webHidden/>
          </w:rPr>
        </w:r>
        <w:r w:rsidR="00677630">
          <w:rPr>
            <w:noProof/>
            <w:webHidden/>
          </w:rPr>
          <w:fldChar w:fldCharType="separate"/>
        </w:r>
        <w:r w:rsidR="00677630">
          <w:rPr>
            <w:noProof/>
            <w:webHidden/>
          </w:rPr>
          <w:t>- 31 -</w:t>
        </w:r>
        <w:r w:rsidR="00677630">
          <w:rPr>
            <w:noProof/>
            <w:webHidden/>
          </w:rPr>
          <w:fldChar w:fldCharType="end"/>
        </w:r>
      </w:hyperlink>
    </w:p>
    <w:p w:rsidR="00677630" w:rsidRDefault="00794B97">
      <w:pPr>
        <w:pStyle w:val="TM2"/>
        <w:tabs>
          <w:tab w:val="right" w:pos="9062"/>
        </w:tabs>
        <w:rPr>
          <w:noProof/>
        </w:rPr>
      </w:pPr>
      <w:hyperlink w:anchor="_Toc509513840" w:history="1">
        <w:r w:rsidR="00677630" w:rsidRPr="00A85FD6">
          <w:rPr>
            <w:rStyle w:val="Lienhypertexte"/>
            <w:noProof/>
          </w:rPr>
          <w:t>Des outils d’évaluation au service des entreprises non cotées</w:t>
        </w:r>
        <w:r w:rsidR="00677630">
          <w:rPr>
            <w:noProof/>
            <w:webHidden/>
          </w:rPr>
          <w:tab/>
        </w:r>
        <w:r w:rsidR="00677630">
          <w:rPr>
            <w:noProof/>
            <w:webHidden/>
          </w:rPr>
          <w:fldChar w:fldCharType="begin"/>
        </w:r>
        <w:r w:rsidR="00677630">
          <w:rPr>
            <w:noProof/>
            <w:webHidden/>
          </w:rPr>
          <w:instrText xml:space="preserve"> PAGEREF _Toc509513840 \h </w:instrText>
        </w:r>
        <w:r w:rsidR="00677630">
          <w:rPr>
            <w:noProof/>
            <w:webHidden/>
          </w:rPr>
        </w:r>
        <w:r w:rsidR="00677630">
          <w:rPr>
            <w:noProof/>
            <w:webHidden/>
          </w:rPr>
          <w:fldChar w:fldCharType="separate"/>
        </w:r>
        <w:r w:rsidR="00677630">
          <w:rPr>
            <w:noProof/>
            <w:webHidden/>
          </w:rPr>
          <w:t>- 32 -</w:t>
        </w:r>
        <w:r w:rsidR="00677630">
          <w:rPr>
            <w:noProof/>
            <w:webHidden/>
          </w:rPr>
          <w:fldChar w:fldCharType="end"/>
        </w:r>
      </w:hyperlink>
    </w:p>
    <w:p w:rsidR="00677630" w:rsidRDefault="00794B97">
      <w:pPr>
        <w:pStyle w:val="TM2"/>
        <w:tabs>
          <w:tab w:val="right" w:pos="9062"/>
        </w:tabs>
        <w:rPr>
          <w:noProof/>
        </w:rPr>
      </w:pPr>
      <w:hyperlink w:anchor="_Toc509513841" w:history="1">
        <w:r w:rsidR="00677630" w:rsidRPr="00A85FD6">
          <w:rPr>
            <w:rStyle w:val="Lienhypertexte"/>
            <w:noProof/>
          </w:rPr>
          <w:t>Moyen n°3 : Améliorer la gouvernance de l’épargne salariale</w:t>
        </w:r>
        <w:r w:rsidR="00677630">
          <w:rPr>
            <w:noProof/>
            <w:webHidden/>
          </w:rPr>
          <w:tab/>
        </w:r>
        <w:r w:rsidR="00677630">
          <w:rPr>
            <w:noProof/>
            <w:webHidden/>
          </w:rPr>
          <w:fldChar w:fldCharType="begin"/>
        </w:r>
        <w:r w:rsidR="00677630">
          <w:rPr>
            <w:noProof/>
            <w:webHidden/>
          </w:rPr>
          <w:instrText xml:space="preserve"> PAGEREF _Toc509513841 \h </w:instrText>
        </w:r>
        <w:r w:rsidR="00677630">
          <w:rPr>
            <w:noProof/>
            <w:webHidden/>
          </w:rPr>
        </w:r>
        <w:r w:rsidR="00677630">
          <w:rPr>
            <w:noProof/>
            <w:webHidden/>
          </w:rPr>
          <w:fldChar w:fldCharType="separate"/>
        </w:r>
        <w:r w:rsidR="00677630">
          <w:rPr>
            <w:noProof/>
            <w:webHidden/>
          </w:rPr>
          <w:t>- 33 -</w:t>
        </w:r>
        <w:r w:rsidR="00677630">
          <w:rPr>
            <w:noProof/>
            <w:webHidden/>
          </w:rPr>
          <w:fldChar w:fldCharType="end"/>
        </w:r>
      </w:hyperlink>
    </w:p>
    <w:p w:rsidR="00677630" w:rsidRDefault="00794B97">
      <w:pPr>
        <w:pStyle w:val="TM1"/>
        <w:rPr>
          <w:noProof/>
        </w:rPr>
      </w:pPr>
      <w:hyperlink w:anchor="_Toc509513842" w:history="1">
        <w:r w:rsidR="00677630" w:rsidRPr="00A85FD6">
          <w:rPr>
            <w:rStyle w:val="Lienhypertexte"/>
            <w:noProof/>
          </w:rPr>
          <w:t>Liste des propositions présentées dans le rapport</w:t>
        </w:r>
        <w:r w:rsidR="00677630">
          <w:rPr>
            <w:noProof/>
            <w:webHidden/>
          </w:rPr>
          <w:tab/>
        </w:r>
        <w:r w:rsidR="00677630">
          <w:rPr>
            <w:noProof/>
            <w:webHidden/>
          </w:rPr>
          <w:fldChar w:fldCharType="begin"/>
        </w:r>
        <w:r w:rsidR="00677630">
          <w:rPr>
            <w:noProof/>
            <w:webHidden/>
          </w:rPr>
          <w:instrText xml:space="preserve"> PAGEREF _Toc509513842 \h </w:instrText>
        </w:r>
        <w:r w:rsidR="00677630">
          <w:rPr>
            <w:noProof/>
            <w:webHidden/>
          </w:rPr>
        </w:r>
        <w:r w:rsidR="00677630">
          <w:rPr>
            <w:noProof/>
            <w:webHidden/>
          </w:rPr>
          <w:fldChar w:fldCharType="separate"/>
        </w:r>
        <w:r w:rsidR="00677630">
          <w:rPr>
            <w:noProof/>
            <w:webHidden/>
          </w:rPr>
          <w:t>- 35 -</w:t>
        </w:r>
        <w:r w:rsidR="00677630">
          <w:rPr>
            <w:noProof/>
            <w:webHidden/>
          </w:rPr>
          <w:fldChar w:fldCharType="end"/>
        </w:r>
      </w:hyperlink>
    </w:p>
    <w:p w:rsidR="00677630" w:rsidRDefault="00794B97">
      <w:pPr>
        <w:pStyle w:val="TM1"/>
        <w:rPr>
          <w:noProof/>
        </w:rPr>
      </w:pPr>
      <w:hyperlink w:anchor="_Toc509513843" w:history="1">
        <w:r w:rsidR="00677630" w:rsidRPr="00A85FD6">
          <w:rPr>
            <w:rStyle w:val="Lienhypertexte"/>
            <w:noProof/>
          </w:rPr>
          <w:t>Programme de travail 2018 du COPIESAS</w:t>
        </w:r>
        <w:r w:rsidR="00677630">
          <w:rPr>
            <w:noProof/>
            <w:webHidden/>
          </w:rPr>
          <w:tab/>
        </w:r>
        <w:r w:rsidR="00677630">
          <w:rPr>
            <w:noProof/>
            <w:webHidden/>
          </w:rPr>
          <w:fldChar w:fldCharType="begin"/>
        </w:r>
        <w:r w:rsidR="00677630">
          <w:rPr>
            <w:noProof/>
            <w:webHidden/>
          </w:rPr>
          <w:instrText xml:space="preserve"> PAGEREF _Toc509513843 \h </w:instrText>
        </w:r>
        <w:r w:rsidR="00677630">
          <w:rPr>
            <w:noProof/>
            <w:webHidden/>
          </w:rPr>
        </w:r>
        <w:r w:rsidR="00677630">
          <w:rPr>
            <w:noProof/>
            <w:webHidden/>
          </w:rPr>
          <w:fldChar w:fldCharType="separate"/>
        </w:r>
        <w:r w:rsidR="00677630">
          <w:rPr>
            <w:noProof/>
            <w:webHidden/>
          </w:rPr>
          <w:t>- 37 -</w:t>
        </w:r>
        <w:r w:rsidR="00677630">
          <w:rPr>
            <w:noProof/>
            <w:webHidden/>
          </w:rPr>
          <w:fldChar w:fldCharType="end"/>
        </w:r>
      </w:hyperlink>
    </w:p>
    <w:p w:rsidR="00677630" w:rsidRDefault="00794B97">
      <w:pPr>
        <w:pStyle w:val="TM1"/>
        <w:rPr>
          <w:noProof/>
        </w:rPr>
      </w:pPr>
      <w:hyperlink w:anchor="_Toc509513844" w:history="1">
        <w:r w:rsidR="00677630" w:rsidRPr="00A85FD6">
          <w:rPr>
            <w:rStyle w:val="Lienhypertexte"/>
            <w:noProof/>
          </w:rPr>
          <w:t>Contributions spécifiques des membres du COPIESAS</w:t>
        </w:r>
        <w:r w:rsidR="00677630">
          <w:rPr>
            <w:noProof/>
            <w:webHidden/>
          </w:rPr>
          <w:tab/>
        </w:r>
        <w:r w:rsidR="00677630">
          <w:rPr>
            <w:noProof/>
            <w:webHidden/>
          </w:rPr>
          <w:fldChar w:fldCharType="begin"/>
        </w:r>
        <w:r w:rsidR="00677630">
          <w:rPr>
            <w:noProof/>
            <w:webHidden/>
          </w:rPr>
          <w:instrText xml:space="preserve"> PAGEREF _Toc509513844 \h </w:instrText>
        </w:r>
        <w:r w:rsidR="00677630">
          <w:rPr>
            <w:noProof/>
            <w:webHidden/>
          </w:rPr>
        </w:r>
        <w:r w:rsidR="00677630">
          <w:rPr>
            <w:noProof/>
            <w:webHidden/>
          </w:rPr>
          <w:fldChar w:fldCharType="separate"/>
        </w:r>
        <w:r w:rsidR="00677630">
          <w:rPr>
            <w:noProof/>
            <w:webHidden/>
          </w:rPr>
          <w:t>- 38 -</w:t>
        </w:r>
        <w:r w:rsidR="00677630">
          <w:rPr>
            <w:noProof/>
            <w:webHidden/>
          </w:rPr>
          <w:fldChar w:fldCharType="end"/>
        </w:r>
      </w:hyperlink>
    </w:p>
    <w:p w:rsidR="00677630" w:rsidRDefault="00794B97">
      <w:pPr>
        <w:pStyle w:val="TM2"/>
        <w:tabs>
          <w:tab w:val="right" w:pos="9062"/>
        </w:tabs>
        <w:rPr>
          <w:noProof/>
        </w:rPr>
      </w:pPr>
      <w:hyperlink w:anchor="_Toc509513845" w:history="1">
        <w:r w:rsidR="00677630" w:rsidRPr="00A85FD6">
          <w:rPr>
            <w:rStyle w:val="Lienhypertexte"/>
            <w:noProof/>
          </w:rPr>
          <w:t>Au titre des partenaires sociaux</w:t>
        </w:r>
        <w:r w:rsidR="00677630">
          <w:rPr>
            <w:noProof/>
            <w:webHidden/>
          </w:rPr>
          <w:tab/>
        </w:r>
        <w:r w:rsidR="00677630">
          <w:rPr>
            <w:noProof/>
            <w:webHidden/>
          </w:rPr>
          <w:fldChar w:fldCharType="begin"/>
        </w:r>
        <w:r w:rsidR="00677630">
          <w:rPr>
            <w:noProof/>
            <w:webHidden/>
          </w:rPr>
          <w:instrText xml:space="preserve"> PAGEREF _Toc509513845 \h </w:instrText>
        </w:r>
        <w:r w:rsidR="00677630">
          <w:rPr>
            <w:noProof/>
            <w:webHidden/>
          </w:rPr>
        </w:r>
        <w:r w:rsidR="00677630">
          <w:rPr>
            <w:noProof/>
            <w:webHidden/>
          </w:rPr>
          <w:fldChar w:fldCharType="separate"/>
        </w:r>
        <w:r w:rsidR="00677630">
          <w:rPr>
            <w:noProof/>
            <w:webHidden/>
          </w:rPr>
          <w:t>- 38 -</w:t>
        </w:r>
        <w:r w:rsidR="00677630">
          <w:rPr>
            <w:noProof/>
            <w:webHidden/>
          </w:rPr>
          <w:fldChar w:fldCharType="end"/>
        </w:r>
      </w:hyperlink>
    </w:p>
    <w:p w:rsidR="00677630" w:rsidRDefault="00794B97">
      <w:pPr>
        <w:pStyle w:val="TM2"/>
        <w:tabs>
          <w:tab w:val="right" w:pos="9062"/>
        </w:tabs>
        <w:rPr>
          <w:noProof/>
        </w:rPr>
      </w:pPr>
      <w:hyperlink w:anchor="_Toc509513846" w:history="1">
        <w:r w:rsidR="00677630" w:rsidRPr="00A85FD6">
          <w:rPr>
            <w:rStyle w:val="Lienhypertexte"/>
            <w:noProof/>
          </w:rPr>
          <w:t>Contribution de la CPME</w:t>
        </w:r>
        <w:r w:rsidR="00677630">
          <w:rPr>
            <w:noProof/>
            <w:webHidden/>
          </w:rPr>
          <w:tab/>
        </w:r>
        <w:r w:rsidR="00677630">
          <w:rPr>
            <w:noProof/>
            <w:webHidden/>
          </w:rPr>
          <w:fldChar w:fldCharType="begin"/>
        </w:r>
        <w:r w:rsidR="00677630">
          <w:rPr>
            <w:noProof/>
            <w:webHidden/>
          </w:rPr>
          <w:instrText xml:space="preserve"> PAGEREF _Toc509513846 \h </w:instrText>
        </w:r>
        <w:r w:rsidR="00677630">
          <w:rPr>
            <w:noProof/>
            <w:webHidden/>
          </w:rPr>
        </w:r>
        <w:r w:rsidR="00677630">
          <w:rPr>
            <w:noProof/>
            <w:webHidden/>
          </w:rPr>
          <w:fldChar w:fldCharType="separate"/>
        </w:r>
        <w:r w:rsidR="00677630">
          <w:rPr>
            <w:noProof/>
            <w:webHidden/>
          </w:rPr>
          <w:t>- 38 -</w:t>
        </w:r>
        <w:r w:rsidR="00677630">
          <w:rPr>
            <w:noProof/>
            <w:webHidden/>
          </w:rPr>
          <w:fldChar w:fldCharType="end"/>
        </w:r>
      </w:hyperlink>
    </w:p>
    <w:p w:rsidR="00677630" w:rsidRDefault="00794B97">
      <w:pPr>
        <w:pStyle w:val="TM2"/>
        <w:tabs>
          <w:tab w:val="right" w:pos="9062"/>
        </w:tabs>
        <w:rPr>
          <w:noProof/>
        </w:rPr>
      </w:pPr>
      <w:hyperlink w:anchor="_Toc509513847" w:history="1">
        <w:r w:rsidR="00677630" w:rsidRPr="00A85FD6">
          <w:rPr>
            <w:rStyle w:val="Lienhypertexte"/>
            <w:noProof/>
          </w:rPr>
          <w:t>Contribution de l’U2P</w:t>
        </w:r>
        <w:r w:rsidR="00677630">
          <w:rPr>
            <w:noProof/>
            <w:webHidden/>
          </w:rPr>
          <w:tab/>
        </w:r>
        <w:r w:rsidR="00677630">
          <w:rPr>
            <w:noProof/>
            <w:webHidden/>
          </w:rPr>
          <w:fldChar w:fldCharType="begin"/>
        </w:r>
        <w:r w:rsidR="00677630">
          <w:rPr>
            <w:noProof/>
            <w:webHidden/>
          </w:rPr>
          <w:instrText xml:space="preserve"> PAGEREF _Toc509513847 \h </w:instrText>
        </w:r>
        <w:r w:rsidR="00677630">
          <w:rPr>
            <w:noProof/>
            <w:webHidden/>
          </w:rPr>
        </w:r>
        <w:r w:rsidR="00677630">
          <w:rPr>
            <w:noProof/>
            <w:webHidden/>
          </w:rPr>
          <w:fldChar w:fldCharType="separate"/>
        </w:r>
        <w:r w:rsidR="00677630">
          <w:rPr>
            <w:noProof/>
            <w:webHidden/>
          </w:rPr>
          <w:t>- 39 -</w:t>
        </w:r>
        <w:r w:rsidR="00677630">
          <w:rPr>
            <w:noProof/>
            <w:webHidden/>
          </w:rPr>
          <w:fldChar w:fldCharType="end"/>
        </w:r>
      </w:hyperlink>
    </w:p>
    <w:p w:rsidR="00677630" w:rsidRDefault="00794B97">
      <w:pPr>
        <w:pStyle w:val="TM2"/>
        <w:tabs>
          <w:tab w:val="right" w:pos="9062"/>
        </w:tabs>
        <w:rPr>
          <w:noProof/>
        </w:rPr>
      </w:pPr>
      <w:hyperlink w:anchor="_Toc509513848" w:history="1">
        <w:r w:rsidR="00677630" w:rsidRPr="00A85FD6">
          <w:rPr>
            <w:rStyle w:val="Lienhypertexte"/>
            <w:noProof/>
          </w:rPr>
          <w:t>Contribution de l’UDES</w:t>
        </w:r>
        <w:r w:rsidR="00677630">
          <w:rPr>
            <w:noProof/>
            <w:webHidden/>
          </w:rPr>
          <w:tab/>
        </w:r>
        <w:r w:rsidR="00677630">
          <w:rPr>
            <w:noProof/>
            <w:webHidden/>
          </w:rPr>
          <w:fldChar w:fldCharType="begin"/>
        </w:r>
        <w:r w:rsidR="00677630">
          <w:rPr>
            <w:noProof/>
            <w:webHidden/>
          </w:rPr>
          <w:instrText xml:space="preserve"> PAGEREF _Toc509513848 \h </w:instrText>
        </w:r>
        <w:r w:rsidR="00677630">
          <w:rPr>
            <w:noProof/>
            <w:webHidden/>
          </w:rPr>
        </w:r>
        <w:r w:rsidR="00677630">
          <w:rPr>
            <w:noProof/>
            <w:webHidden/>
          </w:rPr>
          <w:fldChar w:fldCharType="separate"/>
        </w:r>
        <w:r w:rsidR="00677630">
          <w:rPr>
            <w:noProof/>
            <w:webHidden/>
          </w:rPr>
          <w:t>- 40 -</w:t>
        </w:r>
        <w:r w:rsidR="00677630">
          <w:rPr>
            <w:noProof/>
            <w:webHidden/>
          </w:rPr>
          <w:fldChar w:fldCharType="end"/>
        </w:r>
      </w:hyperlink>
    </w:p>
    <w:p w:rsidR="00677630" w:rsidRDefault="00794B97">
      <w:pPr>
        <w:pStyle w:val="TM2"/>
        <w:tabs>
          <w:tab w:val="right" w:pos="9062"/>
        </w:tabs>
        <w:rPr>
          <w:noProof/>
        </w:rPr>
      </w:pPr>
      <w:hyperlink w:anchor="_Toc509513849" w:history="1">
        <w:r w:rsidR="00677630" w:rsidRPr="00A85FD6">
          <w:rPr>
            <w:rStyle w:val="Lienhypertexte"/>
            <w:noProof/>
          </w:rPr>
          <w:t>Au titre des parlementaires</w:t>
        </w:r>
        <w:r w:rsidR="00677630">
          <w:rPr>
            <w:noProof/>
            <w:webHidden/>
          </w:rPr>
          <w:tab/>
        </w:r>
        <w:r w:rsidR="00677630">
          <w:rPr>
            <w:noProof/>
            <w:webHidden/>
          </w:rPr>
          <w:fldChar w:fldCharType="begin"/>
        </w:r>
        <w:r w:rsidR="00677630">
          <w:rPr>
            <w:noProof/>
            <w:webHidden/>
          </w:rPr>
          <w:instrText xml:space="preserve"> PAGEREF _Toc509513849 \h </w:instrText>
        </w:r>
        <w:r w:rsidR="00677630">
          <w:rPr>
            <w:noProof/>
            <w:webHidden/>
          </w:rPr>
        </w:r>
        <w:r w:rsidR="00677630">
          <w:rPr>
            <w:noProof/>
            <w:webHidden/>
          </w:rPr>
          <w:fldChar w:fldCharType="separate"/>
        </w:r>
        <w:r w:rsidR="00677630">
          <w:rPr>
            <w:noProof/>
            <w:webHidden/>
          </w:rPr>
          <w:t>- 42 -</w:t>
        </w:r>
        <w:r w:rsidR="00677630">
          <w:rPr>
            <w:noProof/>
            <w:webHidden/>
          </w:rPr>
          <w:fldChar w:fldCharType="end"/>
        </w:r>
      </w:hyperlink>
    </w:p>
    <w:p w:rsidR="00677630" w:rsidRDefault="00794B97">
      <w:pPr>
        <w:pStyle w:val="TM2"/>
        <w:tabs>
          <w:tab w:val="right" w:pos="9062"/>
        </w:tabs>
        <w:rPr>
          <w:noProof/>
        </w:rPr>
      </w:pPr>
      <w:hyperlink w:anchor="_Toc509513850" w:history="1">
        <w:r w:rsidR="00677630" w:rsidRPr="00A85FD6">
          <w:rPr>
            <w:rStyle w:val="Lienhypertexte"/>
            <w:noProof/>
          </w:rPr>
          <w:t>Au titre des personnalités qualifiées</w:t>
        </w:r>
        <w:r w:rsidR="00677630">
          <w:rPr>
            <w:noProof/>
            <w:webHidden/>
          </w:rPr>
          <w:tab/>
        </w:r>
        <w:r w:rsidR="00677630">
          <w:rPr>
            <w:noProof/>
            <w:webHidden/>
          </w:rPr>
          <w:fldChar w:fldCharType="begin"/>
        </w:r>
        <w:r w:rsidR="00677630">
          <w:rPr>
            <w:noProof/>
            <w:webHidden/>
          </w:rPr>
          <w:instrText xml:space="preserve"> PAGEREF _Toc509513850 \h </w:instrText>
        </w:r>
        <w:r w:rsidR="00677630">
          <w:rPr>
            <w:noProof/>
            <w:webHidden/>
          </w:rPr>
        </w:r>
        <w:r w:rsidR="00677630">
          <w:rPr>
            <w:noProof/>
            <w:webHidden/>
          </w:rPr>
          <w:fldChar w:fldCharType="separate"/>
        </w:r>
        <w:r w:rsidR="00677630">
          <w:rPr>
            <w:noProof/>
            <w:webHidden/>
          </w:rPr>
          <w:t>- 43 -</w:t>
        </w:r>
        <w:r w:rsidR="00677630">
          <w:rPr>
            <w:noProof/>
            <w:webHidden/>
          </w:rPr>
          <w:fldChar w:fldCharType="end"/>
        </w:r>
      </w:hyperlink>
    </w:p>
    <w:p w:rsidR="00677630" w:rsidRDefault="00794B97">
      <w:pPr>
        <w:pStyle w:val="TM2"/>
        <w:tabs>
          <w:tab w:val="right" w:pos="9062"/>
        </w:tabs>
        <w:rPr>
          <w:noProof/>
        </w:rPr>
      </w:pPr>
      <w:hyperlink w:anchor="_Toc509513851" w:history="1">
        <w:r w:rsidR="00677630" w:rsidRPr="00A85FD6">
          <w:rPr>
            <w:rStyle w:val="Lienhypertexte"/>
            <w:noProof/>
          </w:rPr>
          <w:t>Contribution de M. Jacques Landriot</w:t>
        </w:r>
        <w:r w:rsidR="00677630">
          <w:rPr>
            <w:noProof/>
            <w:webHidden/>
          </w:rPr>
          <w:tab/>
        </w:r>
        <w:r w:rsidR="00677630">
          <w:rPr>
            <w:noProof/>
            <w:webHidden/>
          </w:rPr>
          <w:fldChar w:fldCharType="begin"/>
        </w:r>
        <w:r w:rsidR="00677630">
          <w:rPr>
            <w:noProof/>
            <w:webHidden/>
          </w:rPr>
          <w:instrText xml:space="preserve"> PAGEREF _Toc509513851 \h </w:instrText>
        </w:r>
        <w:r w:rsidR="00677630">
          <w:rPr>
            <w:noProof/>
            <w:webHidden/>
          </w:rPr>
        </w:r>
        <w:r w:rsidR="00677630">
          <w:rPr>
            <w:noProof/>
            <w:webHidden/>
          </w:rPr>
          <w:fldChar w:fldCharType="separate"/>
        </w:r>
        <w:r w:rsidR="00677630">
          <w:rPr>
            <w:noProof/>
            <w:webHidden/>
          </w:rPr>
          <w:t>- 43 -</w:t>
        </w:r>
        <w:r w:rsidR="00677630">
          <w:rPr>
            <w:noProof/>
            <w:webHidden/>
          </w:rPr>
          <w:fldChar w:fldCharType="end"/>
        </w:r>
      </w:hyperlink>
    </w:p>
    <w:p w:rsidR="00677630" w:rsidRDefault="00794B97">
      <w:pPr>
        <w:pStyle w:val="TM1"/>
        <w:rPr>
          <w:noProof/>
        </w:rPr>
      </w:pPr>
      <w:hyperlink w:anchor="_Toc509513852" w:history="1">
        <w:r w:rsidR="00677630" w:rsidRPr="00A85FD6">
          <w:rPr>
            <w:rStyle w:val="Lienhypertexte"/>
            <w:noProof/>
          </w:rPr>
          <w:t>ANNEXES</w:t>
        </w:r>
        <w:r w:rsidR="00677630">
          <w:rPr>
            <w:noProof/>
            <w:webHidden/>
          </w:rPr>
          <w:tab/>
        </w:r>
        <w:r w:rsidR="00677630">
          <w:rPr>
            <w:noProof/>
            <w:webHidden/>
          </w:rPr>
          <w:fldChar w:fldCharType="begin"/>
        </w:r>
        <w:r w:rsidR="00677630">
          <w:rPr>
            <w:noProof/>
            <w:webHidden/>
          </w:rPr>
          <w:instrText xml:space="preserve"> PAGEREF _Toc509513852 \h </w:instrText>
        </w:r>
        <w:r w:rsidR="00677630">
          <w:rPr>
            <w:noProof/>
            <w:webHidden/>
          </w:rPr>
        </w:r>
        <w:r w:rsidR="00677630">
          <w:rPr>
            <w:noProof/>
            <w:webHidden/>
          </w:rPr>
          <w:fldChar w:fldCharType="separate"/>
        </w:r>
        <w:r w:rsidR="00677630">
          <w:rPr>
            <w:noProof/>
            <w:webHidden/>
          </w:rPr>
          <w:t>- 44 -</w:t>
        </w:r>
        <w:r w:rsidR="00677630">
          <w:rPr>
            <w:noProof/>
            <w:webHidden/>
          </w:rPr>
          <w:fldChar w:fldCharType="end"/>
        </w:r>
      </w:hyperlink>
    </w:p>
    <w:p w:rsidR="002861E6" w:rsidRDefault="00847B45">
      <w:pPr>
        <w:rPr>
          <w:b/>
        </w:rPr>
      </w:pPr>
      <w:r>
        <w:rPr>
          <w:b/>
        </w:rPr>
        <w:fldChar w:fldCharType="end"/>
      </w:r>
      <w:r w:rsidR="002861E6">
        <w:rPr>
          <w:b/>
        </w:rPr>
        <w:br w:type="page"/>
      </w:r>
    </w:p>
    <w:p w:rsidR="002861E6" w:rsidRPr="00993C3C" w:rsidRDefault="002861E6" w:rsidP="00993C3C">
      <w:pPr>
        <w:pStyle w:val="COPIESAS1"/>
      </w:pPr>
      <w:bookmarkStart w:id="0" w:name="_Toc404350117"/>
      <w:bookmarkStart w:id="1" w:name="_Toc509513819"/>
      <w:r w:rsidRPr="00993C3C">
        <w:lastRenderedPageBreak/>
        <w:t>Avant-propos</w:t>
      </w:r>
      <w:bookmarkEnd w:id="0"/>
      <w:bookmarkEnd w:id="1"/>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Pr="00BE20AA" w:rsidRDefault="002861E6" w:rsidP="002861E6">
      <w:pPr>
        <w:jc w:val="both"/>
      </w:pPr>
    </w:p>
    <w:p w:rsidR="002861E6" w:rsidRDefault="002861E6" w:rsidP="002861E6">
      <w:pPr>
        <w:pStyle w:val="Paragraphedeliste"/>
        <w:ind w:left="2160"/>
        <w:jc w:val="right"/>
        <w:rPr>
          <w:b/>
          <w:i/>
        </w:rPr>
      </w:pPr>
      <w:r>
        <w:rPr>
          <w:b/>
          <w:i/>
        </w:rPr>
        <w:t>Aurélien TACHÉ</w:t>
      </w:r>
    </w:p>
    <w:p w:rsidR="002861E6" w:rsidRPr="0017141F" w:rsidRDefault="002861E6" w:rsidP="002861E6">
      <w:pPr>
        <w:pStyle w:val="Paragraphedeliste"/>
        <w:ind w:left="2160"/>
        <w:jc w:val="right"/>
      </w:pPr>
      <w:r>
        <w:rPr>
          <w:b/>
          <w:i/>
        </w:rPr>
        <w:t>Vice-Président du COPIESAS</w:t>
      </w:r>
    </w:p>
    <w:p w:rsidR="00E87A4B" w:rsidRDefault="00E87A4B">
      <w:pPr>
        <w:rPr>
          <w:b/>
        </w:rPr>
      </w:pPr>
      <w:r>
        <w:rPr>
          <w:b/>
        </w:rPr>
        <w:br w:type="page"/>
      </w:r>
    </w:p>
    <w:p w:rsidR="00DE5825" w:rsidRPr="00FC1271" w:rsidRDefault="00DE5825" w:rsidP="00993C3C">
      <w:pPr>
        <w:pStyle w:val="COPIESAS1"/>
      </w:pPr>
      <w:bookmarkStart w:id="2" w:name="_Toc509513820"/>
      <w:r w:rsidRPr="00FC1271">
        <w:lastRenderedPageBreak/>
        <w:t>Chapitre 1 : Généraliser les dispositifs de l’épargne salariale dans les entreprises de moins de 50 salariés</w:t>
      </w:r>
      <w:bookmarkEnd w:id="2"/>
    </w:p>
    <w:p w:rsidR="00DE5825" w:rsidRDefault="00DE5825" w:rsidP="00DE5825">
      <w:pPr>
        <w:jc w:val="both"/>
        <w:rPr>
          <w:b/>
        </w:rPr>
      </w:pPr>
    </w:p>
    <w:p w:rsidR="00DE5825" w:rsidRDefault="00DE5825" w:rsidP="00992059">
      <w:pPr>
        <w:jc w:val="both"/>
        <w:rPr>
          <w:noProof/>
          <w:lang w:eastAsia="fr-FR"/>
        </w:rPr>
      </w:pPr>
      <w:r>
        <w:rPr>
          <w:rFonts w:cstheme="minorHAnsi"/>
        </w:rPr>
        <w:t>Dans la lettre de mission adressée au Vice-Président du COPIESAS, Monsieur Aurélien Taché, la ministre du Travail, constatant que les salariés des entreprises de moins de cinquante salariés sont trop souvent privés des fruits des dispositifs de partage de la valeur au sein de l’entreprise, a demandé au COPIESAS d’identifier les freins à la mise en place de ces dispositifs dans ces petites entreprises, et sur les mesures à envisager afin de les lever.</w:t>
      </w:r>
    </w:p>
    <w:p w:rsidR="00DE5825" w:rsidRPr="00E1651B" w:rsidRDefault="00DE5825" w:rsidP="00F0270F">
      <w:pPr>
        <w:jc w:val="both"/>
        <w:rPr>
          <w:b/>
          <w:noProof/>
          <w:lang w:eastAsia="fr-FR"/>
        </w:rPr>
      </w:pPr>
      <w:r w:rsidRPr="00E1651B">
        <w:rPr>
          <w:b/>
          <w:noProof/>
          <w:lang w:eastAsia="fr-FR"/>
        </w:rPr>
        <w:t xml:space="preserve">Constat : </w:t>
      </w:r>
      <w:r>
        <w:rPr>
          <w:b/>
          <w:noProof/>
          <w:lang w:eastAsia="fr-FR"/>
        </w:rPr>
        <w:t>un recours distinct</w:t>
      </w:r>
      <w:r w:rsidRPr="00E1651B">
        <w:rPr>
          <w:b/>
          <w:noProof/>
          <w:lang w:eastAsia="fr-FR"/>
        </w:rPr>
        <w:t xml:space="preserve"> </w:t>
      </w:r>
      <w:r>
        <w:rPr>
          <w:b/>
          <w:noProof/>
          <w:lang w:eastAsia="fr-FR"/>
        </w:rPr>
        <w:t>à</w:t>
      </w:r>
      <w:r w:rsidRPr="00E1651B">
        <w:rPr>
          <w:b/>
          <w:noProof/>
          <w:lang w:eastAsia="fr-FR"/>
        </w:rPr>
        <w:t xml:space="preserve"> l’épargne salariale selon les tailles d’entreprise</w:t>
      </w:r>
    </w:p>
    <w:p w:rsidR="00DE5825" w:rsidRDefault="00DE5825" w:rsidP="00F0270F">
      <w:pPr>
        <w:jc w:val="both"/>
        <w:rPr>
          <w:noProof/>
          <w:lang w:eastAsia="fr-FR"/>
        </w:rPr>
      </w:pPr>
      <w:r>
        <w:rPr>
          <w:noProof/>
          <w:lang w:eastAsia="fr-FR"/>
        </w:rPr>
        <w:t>Les dispositifs de participation, d’intéressement et d’épargne salariale sont surtout présents dans les grandes ou moyennes entreprises. En 2015, 87,4 % des salariés ayant eu accès à un de ces dispositifs travaillaient dans une entreprise de 50 salariés ou plus, alors même que ces salariés ne représentaient que 58,2 % de l’ensemble des salariés. Tandis que 91,2 % des salariés étaient couverts par au moins un dispositif dans les entreprises de 500 salariés ou plus, et 71,6 % dans celles de 50 à 499 salariés, ils n’étaient que 16,5 % dans les entreprises de moins de 50 salariés pour lesquelles ces dispositifs ne sont pas obligatoires.</w:t>
      </w:r>
    </w:p>
    <w:p w:rsidR="00DE5825" w:rsidRDefault="00DE5825" w:rsidP="00F0270F">
      <w:pPr>
        <w:jc w:val="both"/>
        <w:rPr>
          <w:noProof/>
          <w:lang w:eastAsia="fr-FR"/>
        </w:rPr>
      </w:pPr>
      <w:r>
        <w:rPr>
          <w:noProof/>
          <w:lang w:eastAsia="fr-FR"/>
        </w:rPr>
        <w:t xml:space="preserve">De fait, la proportion de salariés ayant accès à la participation dépend nettement de la taille de l’entreprise : en 2015, 3,2 % des salariés étaient couverts en deçà du seuil légal de 50 salariés, contre 69 % au-delà. </w:t>
      </w:r>
    </w:p>
    <w:p w:rsidR="00DE5825" w:rsidRDefault="00DE5825" w:rsidP="00F0270F">
      <w:pPr>
        <w:jc w:val="both"/>
        <w:rPr>
          <w:noProof/>
          <w:lang w:eastAsia="fr-FR"/>
        </w:rPr>
      </w:pPr>
      <w:r>
        <w:rPr>
          <w:noProof/>
          <w:lang w:eastAsia="fr-FR"/>
        </w:rPr>
        <w:t xml:space="preserve">En 2015, dans les entreprises de moins de 50 salariés, le plan d’épargne entreprise (PEE) est l’outil d’épargne salariale le plus répandu : 12,6 % des salariés y ont eu accès, contre 4,4 % pour les Perco. Parmi les petites entreprises dotées d’au moins un dispositif, la proportion de salariés ayant accès exclusivement à un PEE est de 26,3 %. Si l’on y ajoute les entreprises ayant mis en place un Perco, cette part s’établit à 43,3 % en 2015. </w:t>
      </w:r>
    </w:p>
    <w:p w:rsidR="00DE5825" w:rsidRDefault="00DE5825" w:rsidP="00F0270F">
      <w:pPr>
        <w:jc w:val="both"/>
        <w:rPr>
          <w:noProof/>
          <w:lang w:eastAsia="fr-FR"/>
        </w:rPr>
      </w:pPr>
      <w:r>
        <w:rPr>
          <w:noProof/>
          <w:lang w:eastAsia="fr-FR"/>
        </w:rPr>
        <w:t>Dans les entreprises plus grandes, les plans d’épargne seuls sont plus rares, ils sont beaucoup plus souvent accompagnés de dispositifs de participation et d’intéressement. L’accès simultané aux quatre dispositifs  participation, intéressement, PEE et Perco) a concerné, en 2015, 0,4 % des salariés des entreprises de moins de 50 salariés, soit 2,5 % des salariés couverts dans ces entreprises. Dans les grandes entreprises, cette proportion est plus élevée, mais l’accès simultané à tous les dispositifs est loin d’y être la règle : il ne concerne que 42,2 % des salariés des entreprises de 1 000 salariés ou plus.</w:t>
      </w:r>
    </w:p>
    <w:p w:rsidR="00DE5825" w:rsidRDefault="00DE5825" w:rsidP="00DE5825">
      <w:r>
        <w:rPr>
          <w:noProof/>
          <w:lang w:eastAsia="fr-FR"/>
        </w:rPr>
        <w:lastRenderedPageBreak/>
        <w:drawing>
          <wp:inline distT="0" distB="0" distL="0" distR="0" wp14:anchorId="6A298CF9" wp14:editId="57121E59">
            <wp:extent cx="5760720" cy="25596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559685"/>
                    </a:xfrm>
                    <a:prstGeom prst="rect">
                      <a:avLst/>
                    </a:prstGeom>
                  </pic:spPr>
                </pic:pic>
              </a:graphicData>
            </a:graphic>
          </wp:inline>
        </w:drawing>
      </w:r>
    </w:p>
    <w:p w:rsidR="00DE5825" w:rsidRDefault="00DE5825" w:rsidP="00F0270F">
      <w:pPr>
        <w:pStyle w:val="COPIESAS2"/>
      </w:pPr>
      <w:bookmarkStart w:id="3" w:name="_Toc509513821"/>
      <w:r>
        <w:t>Quels sont les principaux freins au développement de l’épargne salariale dans les petites entreprises ?</w:t>
      </w:r>
      <w:bookmarkEnd w:id="3"/>
      <w:r>
        <w:t xml:space="preserve"> </w:t>
      </w:r>
    </w:p>
    <w:p w:rsidR="00DE5825" w:rsidRDefault="00DE5825" w:rsidP="00DE5825">
      <w:pPr>
        <w:autoSpaceDE w:val="0"/>
        <w:autoSpaceDN w:val="0"/>
        <w:adjustRightInd w:val="0"/>
        <w:spacing w:after="0" w:line="240" w:lineRule="auto"/>
        <w:jc w:val="both"/>
        <w:rPr>
          <w:rFonts w:ascii="Calibri" w:hAnsi="Calibri" w:cs="Calibri"/>
        </w:rPr>
      </w:pPr>
      <w:r>
        <w:rPr>
          <w:rFonts w:ascii="Calibri" w:hAnsi="Calibri" w:cs="Calibri"/>
        </w:rPr>
        <w:t xml:space="preserve">L’inégalité d’accès entre grandes et petites entreprises est donc un constat essentiel relevé dans le les études de la DARES. Les freins à la diffusion de l’épargne salariale sont connus : la complexité perçue de la gestion des dispositifs de participation et d’intéressement par les employeurs de TPE/PME ne disposant pas de services juridiques spécialisés, l’habitude d’attribution de gratifications individuelles plutôt que collectives, le manque de lisibilité du cadre juridique, et surtout l’instabilité du prélèvement public (forfait social). En donnant de la lisibilité sur l’évolution des taux de forfait social, en allégeant son coût et en simplifiant les dispositifs, les chefs d’entreprise de TPE/PME pourraient être plus enclins à partager la valeur créée avec leurs salariés dans le cadre des dispositifs d’épargne salariale. Enfin, les petites entreprises apparaissent démunies en termes </w:t>
      </w:r>
      <w:r w:rsidRPr="00661779">
        <w:rPr>
          <w:rFonts w:ascii="Calibri" w:hAnsi="Calibri" w:cs="Calibri"/>
        </w:rPr>
        <w:t>d’information et de formation</w:t>
      </w:r>
      <w:r>
        <w:rPr>
          <w:rFonts w:ascii="Calibri" w:hAnsi="Calibri" w:cs="Calibri"/>
        </w:rPr>
        <w:t xml:space="preserve"> sur les possibilités offertes par ces dispositifs et les moyens de les mettre en place dans ces petites structures. </w:t>
      </w:r>
    </w:p>
    <w:p w:rsidR="00DE5825" w:rsidRDefault="00DE5825" w:rsidP="00DE5825">
      <w:pPr>
        <w:autoSpaceDE w:val="0"/>
        <w:autoSpaceDN w:val="0"/>
        <w:adjustRightInd w:val="0"/>
        <w:spacing w:after="0" w:line="240" w:lineRule="auto"/>
        <w:jc w:val="both"/>
        <w:rPr>
          <w:rFonts w:ascii="Calibri" w:hAnsi="Calibri" w:cs="Calibri"/>
        </w:rPr>
      </w:pPr>
    </w:p>
    <w:p w:rsidR="00DE5825" w:rsidRDefault="00DE5825" w:rsidP="00F0270F">
      <w:pPr>
        <w:pStyle w:val="COPIESAS2"/>
      </w:pPr>
      <w:bookmarkStart w:id="4" w:name="_Toc509513822"/>
      <w:r w:rsidRPr="009A3C48">
        <w:t>Objectif de généralisation de l’épargne salariale</w:t>
      </w:r>
      <w:bookmarkEnd w:id="4"/>
    </w:p>
    <w:p w:rsidR="00DE5825" w:rsidRPr="009A3C48" w:rsidRDefault="00DE5825" w:rsidP="00DE5825">
      <w:pPr>
        <w:autoSpaceDE w:val="0"/>
        <w:autoSpaceDN w:val="0"/>
        <w:adjustRightInd w:val="0"/>
        <w:spacing w:after="0" w:line="240" w:lineRule="auto"/>
        <w:jc w:val="both"/>
        <w:rPr>
          <w:b/>
        </w:rPr>
      </w:pPr>
    </w:p>
    <w:p w:rsidR="00DE5825" w:rsidRDefault="00DE5825" w:rsidP="00DE5825">
      <w:pPr>
        <w:jc w:val="both"/>
      </w:pPr>
      <w:r>
        <w:t>L’objectif de généralisation de l’épargne salariale, rappelé par les pouvoirs publics, est partagé par les membres du COPIESAS. A cette fin, les entreprises, et notamment les TPE/PME, ont le choix le mettre en place l’un des dispositifs de l’épargne salariale : intéressement, participation ou plans d’épargne. Ces différents dispositifs permettent de répondre aux besoins des entreprises, quelle que soit leur taille ou leur secteur d’activité. Ainsi, pour celles qui ne disposent aujourd’hui d’aucun dispositif, la mise en place d’un plan d’épargne peut constituer un premier pas vers la mise en place d’autres dispositifs qui permettent d’associer les salariés aux résultats de l’entreprise.</w:t>
      </w:r>
    </w:p>
    <w:p w:rsidR="00F344E2" w:rsidRDefault="00DE5825" w:rsidP="00F344E2">
      <w:pPr>
        <w:jc w:val="both"/>
      </w:pPr>
      <w:r>
        <w:t xml:space="preserve">La première mesure proposée par le COPIESAS consiste à </w:t>
      </w:r>
      <w:r w:rsidR="005661EC">
        <w:t>rendre obligatoire la couverture d</w:t>
      </w:r>
      <w:r>
        <w:t>es salariés des entreprises de moins de 50 salariés par un des dispositifs d’épargne salariale : soit un accord d’intéressement, soit un accord de participation, soit un plan d’épargne salariale, plan d’épargne d’entreprise (PEE) ou plan d’épargne pour la retraite collectif (PERCO)</w:t>
      </w:r>
      <w:r w:rsidR="008F0588">
        <w:t xml:space="preserve">, </w:t>
      </w:r>
      <w:r w:rsidR="000B6CE5">
        <w:t>l’</w:t>
      </w:r>
      <w:r w:rsidR="008F0588">
        <w:t>abondement de l’employeur</w:t>
      </w:r>
      <w:r w:rsidR="000B6CE5">
        <w:t xml:space="preserve"> restant facultatif</w:t>
      </w:r>
      <w:r w:rsidR="00AA74CF">
        <w:t xml:space="preserve">. </w:t>
      </w:r>
      <w:r w:rsidR="008F0588">
        <w:t>Le plan d’épargne d’entreprise peut être utilisé pour proposer aux salariés une opération d’actionnariat salarié collective</w:t>
      </w:r>
      <w:r w:rsidR="00CF2796">
        <w:t>,</w:t>
      </w:r>
      <w:r w:rsidR="00CF2796" w:rsidRPr="00CF2796">
        <w:rPr>
          <w:i/>
        </w:rPr>
        <w:t xml:space="preserve"> </w:t>
      </w:r>
      <w:r w:rsidR="00CF2796">
        <w:rPr>
          <w:i/>
        </w:rPr>
        <w:t>organisant la liquidité des titres</w:t>
      </w:r>
      <w:r w:rsidR="008F0588">
        <w:t>. L’entreprise peut également adhérer</w:t>
      </w:r>
      <w:r w:rsidR="008D4697">
        <w:t xml:space="preserve"> </w:t>
      </w:r>
      <w:r w:rsidR="008F0588">
        <w:t xml:space="preserve">à un plan d’épargne interentreprises (PEI) </w:t>
      </w:r>
      <w:r w:rsidR="008D4697">
        <w:t xml:space="preserve">ou </w:t>
      </w:r>
      <w:r w:rsidR="008F0588">
        <w:t xml:space="preserve">à un </w:t>
      </w:r>
      <w:r w:rsidR="008D4697">
        <w:t xml:space="preserve">plan d’épargne pour la </w:t>
      </w:r>
      <w:r w:rsidR="008D4697">
        <w:lastRenderedPageBreak/>
        <w:t>retraite collectif interentreprises (PERCO-I)</w:t>
      </w:r>
      <w:r>
        <w:t xml:space="preserve">. </w:t>
      </w:r>
      <w:r w:rsidR="00F344E2">
        <w:t>Cette proposition ne recueille toutefois pas l’adhésion de représentants du patronat (voir contributions en annexe).</w:t>
      </w:r>
    </w:p>
    <w:p w:rsidR="00DE5825" w:rsidRDefault="00DE5825" w:rsidP="00DE5825">
      <w:pPr>
        <w:jc w:val="both"/>
      </w:pPr>
    </w:p>
    <w:p w:rsidR="00DE5825" w:rsidRDefault="00DE5825" w:rsidP="00DE5825">
      <w:pPr>
        <w:jc w:val="both"/>
      </w:pPr>
    </w:p>
    <w:p w:rsidR="00DE5825" w:rsidRPr="00F9756F" w:rsidRDefault="00DE5825" w:rsidP="00F9756F">
      <w:pPr>
        <w:pStyle w:val="COPIESASProposition"/>
      </w:pPr>
      <w:bookmarkStart w:id="5" w:name="_Toc509330466"/>
      <w:bookmarkStart w:id="6" w:name="_Toc509341608"/>
      <w:bookmarkStart w:id="7" w:name="_Toc509493615"/>
      <w:bookmarkStart w:id="8" w:name="_Toc509561884"/>
      <w:bookmarkStart w:id="9" w:name="_Toc509562125"/>
      <w:r w:rsidRPr="00F9756F">
        <w:t xml:space="preserve">Proposition n°1 : Les salariés des entreprises de </w:t>
      </w:r>
      <w:r w:rsidR="008D4697" w:rsidRPr="00F9756F">
        <w:t xml:space="preserve">moins de 50 </w:t>
      </w:r>
      <w:r w:rsidRPr="00DB5578">
        <w:t>salariés sont couverts par au moins un des dispositifs d’épargne salariale : intéressement, participation ou plan d’</w:t>
      </w:r>
      <w:r w:rsidRPr="00F9756F">
        <w:t>épargne</w:t>
      </w:r>
      <w:r w:rsidR="003D146A" w:rsidRPr="00F9756F">
        <w:t xml:space="preserve"> </w:t>
      </w:r>
      <w:bookmarkEnd w:id="5"/>
      <w:bookmarkEnd w:id="6"/>
      <w:r w:rsidR="003D146A" w:rsidRPr="00F9756F">
        <w:t xml:space="preserve"> comportant éventuellement un dispositif d’actionnariat salarié collectif et liquide. A défaut de dispositif mis en place, un PEE, ou l’adhésion à un PEI, sera institué dans l’entreprise après concertation avec les salariés</w:t>
      </w:r>
      <w:r w:rsidR="00F9756F" w:rsidRPr="00F9756F">
        <w:t>.</w:t>
      </w:r>
      <w:bookmarkEnd w:id="7"/>
      <w:bookmarkEnd w:id="8"/>
      <w:bookmarkEnd w:id="9"/>
    </w:p>
    <w:p w:rsidR="00DE5825" w:rsidRPr="009A3C48" w:rsidRDefault="00DE5825" w:rsidP="00DE5825">
      <w:pPr>
        <w:jc w:val="both"/>
        <w:rPr>
          <w:b/>
        </w:rPr>
      </w:pPr>
      <w:r w:rsidRPr="00D0445B">
        <w:rPr>
          <w:b/>
        </w:rPr>
        <w:t>Moyen n°1</w:t>
      </w:r>
      <w:r w:rsidRPr="009A3C48">
        <w:rPr>
          <w:b/>
        </w:rPr>
        <w:t xml:space="preserve"> : Inciter les entreprises à s’approprier </w:t>
      </w:r>
      <w:r>
        <w:rPr>
          <w:b/>
        </w:rPr>
        <w:t>l</w:t>
      </w:r>
      <w:r w:rsidRPr="009A3C48">
        <w:rPr>
          <w:b/>
        </w:rPr>
        <w:t>es dispositifs</w:t>
      </w:r>
      <w:r>
        <w:rPr>
          <w:b/>
        </w:rPr>
        <w:t xml:space="preserve"> d’épargne salariale</w:t>
      </w:r>
    </w:p>
    <w:p w:rsidR="00DE5825" w:rsidRDefault="00DE5825" w:rsidP="00DE5825">
      <w:pPr>
        <w:jc w:val="both"/>
      </w:pPr>
      <w:r>
        <w:t>Afin d’atteindre l’objectif principal de généralisation de l’épargne salariale dans les entreprises de moins de 50 salariés, plusieurs mesures d’incitation pourraient être envisagées. Il s’agit de propositions combinant simplification, sécurisation et incitation sociale, qui pourraient inciter les entreprises qui en sont dépourvues à les mettre en place.</w:t>
      </w:r>
    </w:p>
    <w:p w:rsidR="00176313" w:rsidRDefault="00DE5825" w:rsidP="00DE5825">
      <w:pPr>
        <w:jc w:val="both"/>
      </w:pPr>
      <w:r>
        <w:t>Pour ce faire, plusieurs mesures de simplification pourraient être avancées</w:t>
      </w:r>
      <w:r w:rsidR="00176313">
        <w:t xml:space="preserve"> : </w:t>
      </w:r>
    </w:p>
    <w:p w:rsidR="00D40EBD" w:rsidRDefault="00D40EBD" w:rsidP="009014A4">
      <w:pPr>
        <w:pStyle w:val="Paragraphedeliste"/>
        <w:numPr>
          <w:ilvl w:val="0"/>
          <w:numId w:val="19"/>
        </w:numPr>
        <w:jc w:val="both"/>
      </w:pPr>
      <w:r>
        <w:t xml:space="preserve">la conclusion des accords au sein du comité d’entreprise n’était possible </w:t>
      </w:r>
      <w:r w:rsidRPr="009014A4">
        <w:rPr>
          <w:i/>
        </w:rPr>
        <w:t>de facto</w:t>
      </w:r>
      <w:r>
        <w:t xml:space="preserve"> qu’à compter de 50 salariés. Avec le remplacement du CE par le comité social et économique, cette possibilité pourrait exister dès 11 salariés ;</w:t>
      </w:r>
    </w:p>
    <w:p w:rsidR="00D40EBD" w:rsidRDefault="00D40EBD" w:rsidP="009014A4">
      <w:pPr>
        <w:pStyle w:val="Paragraphedeliste"/>
        <w:numPr>
          <w:ilvl w:val="0"/>
          <w:numId w:val="19"/>
        </w:numPr>
        <w:jc w:val="both"/>
      </w:pPr>
      <w:r>
        <w:t>les versements que peut recevoir un salarié pour l’intéressement et la participation sont soumis à des plafonds différents. Il est proposé de les harmoniser ;</w:t>
      </w:r>
    </w:p>
    <w:p w:rsidR="00D40EBD" w:rsidRDefault="00D40EBD" w:rsidP="009014A4">
      <w:pPr>
        <w:pStyle w:val="Paragraphedeliste"/>
        <w:numPr>
          <w:ilvl w:val="0"/>
          <w:numId w:val="19"/>
        </w:numPr>
        <w:jc w:val="both"/>
      </w:pPr>
      <w:r>
        <w:t>l’injonction de satisfaire à ses obligations en matière d’IRP pour mettre en place un accord d’intéressement, conformément aux dispositions de l’article L. 3312-2 du code du travail, ne saurait être remise en cause, mais pourrait être adaptée : il s’agit de garantir les droits des salariés en cas de restructuration, alors que la mise en place de nouvelles IRP est impérative pour la poursuite de l’accord. Il est donc proposé de lever cet obstacle, mais uniquement par voie d’accord. L’intéressement dispose de modalités particulièrement adaptées à toutes les tailles d’entreprise, et un accord</w:t>
      </w:r>
      <w:r w:rsidRPr="00D8563A">
        <w:t xml:space="preserve"> </w:t>
      </w:r>
      <w:r>
        <w:t>avec un salarié mandaté ou une ratification aux deux tiers des salariés peut toujours être une solution pour pallier l’absence temporaire d’IRP dans une entreprise de moins de 50 salariés.</w:t>
      </w:r>
    </w:p>
    <w:p w:rsidR="00DE5825" w:rsidRDefault="00DE5825" w:rsidP="00D40EBD">
      <w:pPr>
        <w:jc w:val="both"/>
      </w:pPr>
    </w:p>
    <w:p w:rsidR="00DE5825" w:rsidRPr="009A3C48" w:rsidRDefault="00DE5825" w:rsidP="00F0270F">
      <w:pPr>
        <w:pStyle w:val="COPIESASProposition"/>
      </w:pPr>
      <w:bookmarkStart w:id="10" w:name="_Toc509330467"/>
      <w:bookmarkStart w:id="11" w:name="_Toc509341609"/>
      <w:bookmarkStart w:id="12" w:name="_Toc509493616"/>
      <w:bookmarkStart w:id="13" w:name="_Toc509561885"/>
      <w:bookmarkStart w:id="14" w:name="_Toc509562126"/>
      <w:r w:rsidRPr="009A3C48">
        <w:t>Proposition n°2 : Possibilité de conclure un accord d’épargne salariale au sein du CSE dès 11 salariés.</w:t>
      </w:r>
      <w:bookmarkEnd w:id="10"/>
      <w:bookmarkEnd w:id="11"/>
      <w:bookmarkEnd w:id="12"/>
      <w:bookmarkEnd w:id="13"/>
      <w:bookmarkEnd w:id="14"/>
      <w:r w:rsidRPr="009A3C48">
        <w:t xml:space="preserve"> </w:t>
      </w:r>
    </w:p>
    <w:p w:rsidR="00DE5825" w:rsidRPr="009A3C48" w:rsidRDefault="00DE5825" w:rsidP="00F0270F">
      <w:pPr>
        <w:pStyle w:val="COPIESASProposition"/>
      </w:pPr>
      <w:bookmarkStart w:id="15" w:name="_Toc509330468"/>
      <w:bookmarkStart w:id="16" w:name="_Toc509341610"/>
      <w:bookmarkStart w:id="17" w:name="_Toc509493617"/>
      <w:bookmarkStart w:id="18" w:name="_Toc509561886"/>
      <w:bookmarkStart w:id="19" w:name="_Toc509562127"/>
      <w:r w:rsidRPr="009A3C48">
        <w:t xml:space="preserve">Proposition n°3 : </w:t>
      </w:r>
      <w:r>
        <w:t xml:space="preserve">Alignement </w:t>
      </w:r>
      <w:r w:rsidRPr="009A3C48">
        <w:t>d</w:t>
      </w:r>
      <w:r>
        <w:t>u</w:t>
      </w:r>
      <w:r w:rsidRPr="009A3C48">
        <w:t xml:space="preserve"> plafond de versement </w:t>
      </w:r>
      <w:r>
        <w:t>individuel de</w:t>
      </w:r>
      <w:r w:rsidRPr="009A3C48">
        <w:t xml:space="preserve"> l’intéressement</w:t>
      </w:r>
      <w:r>
        <w:t xml:space="preserve"> (50% du PASS - art. L. 3314-8 CT) sur celui de la participation (3/4 du PASS – article D. 3324-12 CT)</w:t>
      </w:r>
      <w:bookmarkEnd w:id="15"/>
      <w:bookmarkEnd w:id="16"/>
      <w:bookmarkEnd w:id="17"/>
      <w:bookmarkEnd w:id="18"/>
      <w:bookmarkEnd w:id="19"/>
    </w:p>
    <w:p w:rsidR="00DB0B1C" w:rsidRPr="009A3C48" w:rsidRDefault="00DE5825" w:rsidP="00F0270F">
      <w:pPr>
        <w:pStyle w:val="COPIESASProposition"/>
      </w:pPr>
      <w:bookmarkStart w:id="20" w:name="_Toc509330469"/>
      <w:bookmarkStart w:id="21" w:name="_Toc509341611"/>
      <w:bookmarkStart w:id="22" w:name="_Toc509493618"/>
      <w:bookmarkStart w:id="23" w:name="_Toc509561887"/>
      <w:bookmarkStart w:id="24" w:name="_Toc509562128"/>
      <w:r w:rsidRPr="009A3C48">
        <w:t xml:space="preserve">Proposition n°4 : En cas de restructuration de l’entreprise, permettre à l’accord d’intéressement de se poursuivre ou d’être renouvelé </w:t>
      </w:r>
      <w:r>
        <w:t xml:space="preserve">par accord d’entreprise </w:t>
      </w:r>
      <w:r w:rsidRPr="009A3C48">
        <w:t>sans attendre la mise en place de nouvelles Institutions représentatives du personnel (IRP).</w:t>
      </w:r>
      <w:bookmarkEnd w:id="20"/>
      <w:bookmarkEnd w:id="21"/>
      <w:bookmarkEnd w:id="22"/>
      <w:bookmarkEnd w:id="23"/>
      <w:bookmarkEnd w:id="24"/>
      <w:r w:rsidR="00F67B72" w:rsidDel="00F67B72">
        <w:t xml:space="preserve"> </w:t>
      </w:r>
    </w:p>
    <w:p w:rsidR="00DE5825" w:rsidRDefault="00DE5825" w:rsidP="00F67B72">
      <w:pPr>
        <w:pBdr>
          <w:top w:val="single" w:sz="4" w:space="1" w:color="auto"/>
          <w:left w:val="single" w:sz="4" w:space="4" w:color="auto"/>
          <w:bottom w:val="single" w:sz="4" w:space="1" w:color="auto"/>
          <w:right w:val="single" w:sz="4" w:space="4" w:color="auto"/>
        </w:pBdr>
        <w:jc w:val="both"/>
      </w:pPr>
    </w:p>
    <w:p w:rsidR="00DE5825" w:rsidRDefault="00DE5825" w:rsidP="00DE5825">
      <w:pPr>
        <w:jc w:val="both"/>
      </w:pPr>
      <w:r>
        <w:lastRenderedPageBreak/>
        <w:t xml:space="preserve">Aujourd’hui, la DIRECCTE et l’URSSAF disposent de quatre mois, à compter du dépôt de l’accord d’intéressement, pour formuler des observations et demander à l’employeur une mise en conformité de l’accord. En l’absence d’observation de l’administration dans ce délai, les exonérations sont sécurisées. En cas d’observations de la DIRECCTE après l’expiration de ce délai de quatre mois, seules les exonérations attachées aux exercices de calcul ouverts postérieurement à ces observations peuvent éventuellement être remises en cause. Afin d’assurer une sécurité maximale pour les entreprises et les partenaires sociaux, il conviendrait de garantir les exonérations de cotisations sociales pour les trois exercices de l’accord d’intéressement </w:t>
      </w:r>
      <w:r w:rsidRPr="00E55B81">
        <w:t xml:space="preserve">en l’absence de toute observation par l’administration dans </w:t>
      </w:r>
      <w:r>
        <w:t>le</w:t>
      </w:r>
      <w:r w:rsidRPr="00E55B81">
        <w:t xml:space="preserve"> délai de quatre mois après le dépôt de l’accord</w:t>
      </w:r>
      <w:r>
        <w:t xml:space="preserve"> d’intéressement.</w:t>
      </w:r>
      <w:r w:rsidR="00F67B72">
        <w:t xml:space="preserve"> L’abaissement à deux mois de la durée d’examen par l’administration des accords déposés</w:t>
      </w:r>
      <w:r w:rsidR="000B6CE5">
        <w:t>, voire la suppression de cet examen,</w:t>
      </w:r>
      <w:r w:rsidR="00F67B72">
        <w:t xml:space="preserve"> a été </w:t>
      </w:r>
      <w:r w:rsidR="004D7BFA">
        <w:t>évoqué</w:t>
      </w:r>
      <w:r w:rsidR="00F67B72">
        <w:t>, sans pour autant rencontrer de consensus.</w:t>
      </w:r>
    </w:p>
    <w:p w:rsidR="00DE5825" w:rsidRPr="009A3C48" w:rsidRDefault="00DE5825" w:rsidP="00F0270F">
      <w:pPr>
        <w:pStyle w:val="COPIESASProposition"/>
      </w:pPr>
      <w:bookmarkStart w:id="25" w:name="_Toc509330470"/>
      <w:bookmarkStart w:id="26" w:name="_Toc509341612"/>
      <w:bookmarkStart w:id="27" w:name="_Toc509493619"/>
      <w:bookmarkStart w:id="28" w:name="_Toc509561888"/>
      <w:bookmarkStart w:id="29" w:name="_Toc509562129"/>
      <w:r w:rsidRPr="009A3C48">
        <w:t>Proposition n°</w:t>
      </w:r>
      <w:r>
        <w:t>5</w:t>
      </w:r>
      <w:r w:rsidRPr="009A3C48">
        <w:t> : Sécuriser les exonérations de cotisations sociales pour les trois exercices de l’accord d’intéressement en l’absence de toute observation par l’administration dans un délai de quatre mois après le dépôt de l’accord d’intéressement</w:t>
      </w:r>
      <w:bookmarkEnd w:id="25"/>
      <w:bookmarkEnd w:id="26"/>
      <w:bookmarkEnd w:id="27"/>
      <w:bookmarkEnd w:id="28"/>
      <w:bookmarkEnd w:id="29"/>
    </w:p>
    <w:p w:rsidR="00DE5825" w:rsidRDefault="00DE5825" w:rsidP="00DE5825">
      <w:pPr>
        <w:jc w:val="both"/>
      </w:pPr>
    </w:p>
    <w:p w:rsidR="00DE5825" w:rsidRDefault="00DE5825" w:rsidP="00DE5825">
      <w:pPr>
        <w:jc w:val="both"/>
      </w:pPr>
      <w:r>
        <w:t>Enfin, concernant l’incitation, il est nécessaire de soulever la question de l’abaissement du taux de forfait social. Si le régime du forfait social appliqué aux versements effectués dans le cadre des dispositifs d’épargne salariale reste avantageux comparé à celui appliqué aux versements salariaux, l’affichage d’un taux de forfait social applicable a un effet désincitatif sur la mise en place de tels dispositifs dans les TPE/PME. Cependant, la prise en considération de l’effet de la baisse du taux de forfait social sur la situation des comptes sociaux, constitue une limite à la réduction du taux de forfait social,</w:t>
      </w:r>
      <w:r w:rsidRPr="00F55F68">
        <w:t xml:space="preserve"> </w:t>
      </w:r>
      <w:r>
        <w:t>à moins qu’une compensation soit trouvée par ailleurs. Dans ce contexte, il pourrait donc être proposé de pérenniser</w:t>
      </w:r>
      <w:r w:rsidRPr="009D034B">
        <w:t xml:space="preserve"> au-delà des six</w:t>
      </w:r>
      <w:r>
        <w:t xml:space="preserve"> premiers exercices le</w:t>
      </w:r>
      <w:r w:rsidRPr="009D034B">
        <w:t xml:space="preserve"> taux réduit de 8 %</w:t>
      </w:r>
      <w:r>
        <w:t xml:space="preserve"> pour l’ensemble des</w:t>
      </w:r>
      <w:r w:rsidRPr="009D034B">
        <w:t xml:space="preserve"> PME</w:t>
      </w:r>
      <w:r>
        <w:t xml:space="preserve"> de moins de 50 salariés, et en l’étendant logiquement à l’abondement sur les plans d’épargne salarial</w:t>
      </w:r>
      <w:r w:rsidRPr="009D034B">
        <w:t>.</w:t>
      </w:r>
      <w:r>
        <w:t xml:space="preserve"> Il s’agit en effet de l’outil le plus répandu dans les moins de 50 salariés. </w:t>
      </w:r>
    </w:p>
    <w:p w:rsidR="00DE5825" w:rsidRPr="009A3C48" w:rsidRDefault="00DE5825" w:rsidP="00F0270F">
      <w:pPr>
        <w:pStyle w:val="COPIESASProposition"/>
      </w:pPr>
      <w:bookmarkStart w:id="30" w:name="_Toc509330471"/>
      <w:bookmarkStart w:id="31" w:name="_Toc509341613"/>
      <w:bookmarkStart w:id="32" w:name="_Toc509493620"/>
      <w:bookmarkStart w:id="33" w:name="_Toc509561889"/>
      <w:bookmarkStart w:id="34" w:name="_Toc509562130"/>
      <w:r w:rsidRPr="009A3C48">
        <w:t>Proposition n°</w:t>
      </w:r>
      <w:r>
        <w:t>6</w:t>
      </w:r>
      <w:r w:rsidRPr="009A3C48">
        <w:t xml:space="preserve"> : </w:t>
      </w:r>
      <w:r w:rsidR="00F344E2">
        <w:t>Etendre</w:t>
      </w:r>
      <w:r w:rsidR="003D146A">
        <w:t>,</w:t>
      </w:r>
      <w:r w:rsidR="00F344E2">
        <w:t xml:space="preserve"> </w:t>
      </w:r>
      <w:r w:rsidR="003D146A">
        <w:t xml:space="preserve">dans un premier temps, </w:t>
      </w:r>
      <w:r w:rsidRPr="009A3C48">
        <w:t xml:space="preserve"> le taux de 8 % pour l’ensemble des entreprises de moins de 50 salariés</w:t>
      </w:r>
      <w:r w:rsidR="00F344E2">
        <w:t xml:space="preserve">, y compris </w:t>
      </w:r>
      <w:r w:rsidRPr="009A3C48">
        <w:t xml:space="preserve"> à l’abondement de l’employeur sur </w:t>
      </w:r>
      <w:r w:rsidRPr="00794B97">
        <w:t>les plans d’épargne salariale</w:t>
      </w:r>
      <w:r w:rsidR="003D146A" w:rsidRPr="00794B97">
        <w:t>,</w:t>
      </w:r>
      <w:r w:rsidR="003D146A" w:rsidRPr="00794B97">
        <w:rPr>
          <w:rFonts w:ascii="Calibri" w:hAnsi="Calibri" w:cs="Calibri"/>
        </w:rPr>
        <w:t xml:space="preserve"> et aboutir graduellement d’ici un délai de cinq ans à une suppression totale du forfait social</w:t>
      </w:r>
      <w:r w:rsidRPr="00794B97">
        <w:t>.</w:t>
      </w:r>
      <w:bookmarkEnd w:id="30"/>
      <w:bookmarkEnd w:id="31"/>
      <w:bookmarkEnd w:id="32"/>
      <w:bookmarkEnd w:id="33"/>
      <w:bookmarkEnd w:id="34"/>
    </w:p>
    <w:p w:rsidR="00DE5825" w:rsidRDefault="00DE5825" w:rsidP="00DE5825">
      <w:pPr>
        <w:jc w:val="both"/>
        <w:rPr>
          <w:b/>
        </w:rPr>
      </w:pPr>
    </w:p>
    <w:p w:rsidR="00DE5825" w:rsidRPr="009A3C48" w:rsidRDefault="00DE5825" w:rsidP="00DE5825">
      <w:pPr>
        <w:jc w:val="both"/>
        <w:rPr>
          <w:b/>
        </w:rPr>
      </w:pPr>
      <w:r w:rsidRPr="00D0445B">
        <w:rPr>
          <w:b/>
        </w:rPr>
        <w:t>Moyen n°2</w:t>
      </w:r>
      <w:r w:rsidRPr="009A3C48">
        <w:rPr>
          <w:b/>
        </w:rPr>
        <w:t xml:space="preserve"> : </w:t>
      </w:r>
      <w:r>
        <w:rPr>
          <w:b/>
        </w:rPr>
        <w:t xml:space="preserve">Faciliter la mise en place par les entreprises </w:t>
      </w:r>
      <w:r w:rsidRPr="009A3C48">
        <w:rPr>
          <w:b/>
        </w:rPr>
        <w:t>des dispositifs d’épargne salariale (intéressement, participation, plans d’épargne)</w:t>
      </w:r>
    </w:p>
    <w:p w:rsidR="007B54E1" w:rsidRDefault="00DE5825" w:rsidP="007B54E1">
      <w:pPr>
        <w:jc w:val="both"/>
      </w:pPr>
      <w:r>
        <w:t xml:space="preserve">Outre les propositions de simplification et de sécurisation, il convient d’aider les entreprises à mettre en place un des dispositifs d’épargne salariale en incitant à la conclusion d’accords de branche sur ces thèmes. En effet, la branche professionnelle est la plus légitime pour connaitre et accompagner les entreprises d’un secteur professionnel dans cette démarche. En proposant des accords-types, auxquels les entreprises pourraient adhérer conformément aux dispositions de </w:t>
      </w:r>
      <w:r w:rsidRPr="00816CAE">
        <w:t>l’article L</w:t>
      </w:r>
      <w:r w:rsidR="00F3624F">
        <w:t>.</w:t>
      </w:r>
      <w:r w:rsidRPr="00816CAE">
        <w:t xml:space="preserve">2232-10-1 </w:t>
      </w:r>
      <w:r>
        <w:t xml:space="preserve">du code du travail, voire en laissant aux entreprises certaines options pour leur permettre d’adapter, par exemple, la formule de calcul de l’intéressement à leur situation spécifique. </w:t>
      </w:r>
      <w:r w:rsidR="007B54E1">
        <w:t>L’obligation de négocier dans les branches sur l’intéressement et la participation a expiré à compter du 1</w:t>
      </w:r>
      <w:r w:rsidR="007B54E1" w:rsidRPr="007B54E1">
        <w:rPr>
          <w:vertAlign w:val="superscript"/>
        </w:rPr>
        <w:t>er</w:t>
      </w:r>
      <w:r w:rsidR="007B54E1">
        <w:t xml:space="preserve"> janvier </w:t>
      </w:r>
      <w:r w:rsidR="007B54E1">
        <w:lastRenderedPageBreak/>
        <w:t>2018. Il est proposé de la rétablir pour une période déterminée (jusqu’au 31 décembre 2020 par exemple) et de l’étendre aux plans d’épargne salariale.</w:t>
      </w:r>
    </w:p>
    <w:p w:rsidR="00DE5825" w:rsidRDefault="00DE5825" w:rsidP="00DE5825">
      <w:pPr>
        <w:jc w:val="both"/>
      </w:pPr>
      <w:r>
        <w:t>Parallèlement aux accords de branche, les administrations concernées pourraient mettre à disposition, sur un site Internet, un modèle type d’accord afin de faciliter l’appropriation par les entreprises, qui auraient ainsi une connaissance de la structuration des accords d’intéressement et de participation. Ces modèles listeraient toutes les clauses obligatoires dûment hiérarchisées d’un accord, mais sans prendre position sur ce qui relève du choix des entreprises, la formule de calcul et les modalités de répartition. Il s’agirait donc d’un instrument à visée pédagogique, mais qui n’aurait pas la portée juridique des accords de branche.</w:t>
      </w:r>
    </w:p>
    <w:p w:rsidR="00DE5825" w:rsidRPr="009A3C48" w:rsidRDefault="00DE5825" w:rsidP="00F0270F">
      <w:pPr>
        <w:pStyle w:val="COPIESASProposition"/>
      </w:pPr>
      <w:bookmarkStart w:id="35" w:name="_Toc509330472"/>
      <w:bookmarkStart w:id="36" w:name="_Toc509341614"/>
      <w:bookmarkStart w:id="37" w:name="_Toc509493621"/>
      <w:bookmarkStart w:id="38" w:name="_Toc509561890"/>
      <w:bookmarkStart w:id="39" w:name="_Toc509562131"/>
      <w:r w:rsidRPr="009A3C48">
        <w:t>Proposition n°</w:t>
      </w:r>
      <w:r>
        <w:t>7</w:t>
      </w:r>
      <w:r w:rsidRPr="009A3C48">
        <w:t xml:space="preserve"> : </w:t>
      </w:r>
      <w:r w:rsidR="000B6CE5">
        <w:t>Proroger l’o</w:t>
      </w:r>
      <w:r w:rsidRPr="009A3C48">
        <w:t>bligation de négocier dans les branches des accords d’intéressement, de participation et de plans d’épargne afin que soient mis à disposition des entreprises de moins de 50 salariés des accords-type qui pourraient être appliquer directement.</w:t>
      </w:r>
      <w:bookmarkEnd w:id="35"/>
      <w:bookmarkEnd w:id="36"/>
      <w:bookmarkEnd w:id="37"/>
      <w:bookmarkEnd w:id="38"/>
      <w:bookmarkEnd w:id="39"/>
    </w:p>
    <w:p w:rsidR="00DE5825" w:rsidRPr="009A3C48" w:rsidRDefault="00DE5825" w:rsidP="00F0270F">
      <w:pPr>
        <w:pStyle w:val="COPIESASProposition"/>
      </w:pPr>
      <w:bookmarkStart w:id="40" w:name="_Toc509330473"/>
      <w:bookmarkStart w:id="41" w:name="_Toc509341615"/>
      <w:bookmarkStart w:id="42" w:name="_Toc509493622"/>
      <w:bookmarkStart w:id="43" w:name="_Toc509561891"/>
      <w:bookmarkStart w:id="44" w:name="_Toc509562132"/>
      <w:r w:rsidRPr="009A3C48">
        <w:t>Proposition n°</w:t>
      </w:r>
      <w:r>
        <w:t>8</w:t>
      </w:r>
      <w:r w:rsidRPr="009A3C48">
        <w:t xml:space="preserve"> : Mettre à disposition des TPE/PME </w:t>
      </w:r>
      <w:r>
        <w:t xml:space="preserve">sur des sites institutionnels </w:t>
      </w:r>
      <w:r w:rsidRPr="009A3C48">
        <w:t>des modèles d’accords d’intéressement ou de participation pour en faciliter la mise en place aux employeurs</w:t>
      </w:r>
      <w:bookmarkEnd w:id="40"/>
      <w:bookmarkEnd w:id="41"/>
      <w:bookmarkEnd w:id="42"/>
      <w:bookmarkEnd w:id="43"/>
      <w:bookmarkEnd w:id="44"/>
    </w:p>
    <w:p w:rsidR="00DE5825" w:rsidRDefault="00DE5825" w:rsidP="00DE5825">
      <w:pPr>
        <w:jc w:val="both"/>
        <w:rPr>
          <w:b/>
        </w:rPr>
      </w:pPr>
    </w:p>
    <w:p w:rsidR="00DE5825" w:rsidRPr="009A3C48" w:rsidRDefault="00DE5825" w:rsidP="00DE5825">
      <w:pPr>
        <w:jc w:val="both"/>
        <w:rPr>
          <w:b/>
        </w:rPr>
      </w:pPr>
      <w:r w:rsidRPr="00D0445B">
        <w:rPr>
          <w:b/>
        </w:rPr>
        <w:t>Moyen n°3</w:t>
      </w:r>
      <w:r w:rsidRPr="009A3C48">
        <w:rPr>
          <w:b/>
        </w:rPr>
        <w:t xml:space="preserve"> : Améliorer le dialogue social dans l’entreprise par l’épargne salariale </w:t>
      </w:r>
    </w:p>
    <w:p w:rsidR="00DE5825" w:rsidRDefault="00DE5825" w:rsidP="00DE5825">
      <w:pPr>
        <w:jc w:val="both"/>
      </w:pPr>
      <w:r>
        <w:t>Le dialogue social sur l’épargne salariale nourrit la partie la plus dynamique des accords d’entreprise, et le COPIESAS s’est déclaré très attaché à ce que la négociation sociale d’entreprise demeure le moteur de la généralisation des dispositifs d’épargne salariale. Néanmoins, ce constat porte essentiellement sur les grandes entreprises, et peu sur les moins de cinquante salariés. Pour que les accords soient plus nombreux, et le dialogue social autour de la vie des accords plus fructueux, encore faut-il une culture économique commune. Cette</w:t>
      </w:r>
      <w:r w:rsidRPr="00286D28">
        <w:t xml:space="preserve"> question de la formation des salariés épargnants est un sujet </w:t>
      </w:r>
      <w:r>
        <w:t>complexe</w:t>
      </w:r>
      <w:r w:rsidRPr="00286D28">
        <w:t xml:space="preserve">, </w:t>
      </w:r>
      <w:r>
        <w:t>dans un pays où la formation aux mécanismes financiers des citoyens est assez limitée ; d’où un certain</w:t>
      </w:r>
      <w:r w:rsidRPr="00286D28">
        <w:t xml:space="preserve"> manque d’appétence des salariés à </w:t>
      </w:r>
      <w:r>
        <w:t>s’</w:t>
      </w:r>
      <w:r w:rsidRPr="00286D28">
        <w:t xml:space="preserve">investir sur ces sujets parfois difficiles. La formation des salariés à l’épargne d’entreprise (salariés épargnants, représentants de la direction ou membres des conseils de surveillance) </w:t>
      </w:r>
      <w:r>
        <w:t>relève</w:t>
      </w:r>
      <w:r w:rsidRPr="00286D28">
        <w:t xml:space="preserve"> du cadre général de la formation professionnelle. L’offre de formations </w:t>
      </w:r>
      <w:r>
        <w:t xml:space="preserve">à l’épargne salariale existe et </w:t>
      </w:r>
      <w:r w:rsidRPr="00286D28">
        <w:t xml:space="preserve">est assez fournie. </w:t>
      </w:r>
      <w:r>
        <w:t xml:space="preserve">Elle pourrait être portée à la connaissance des PME via les organisations patronales et syndicales. </w:t>
      </w:r>
    </w:p>
    <w:p w:rsidR="00DE5825" w:rsidRDefault="00DE5825" w:rsidP="00DE5825">
      <w:pPr>
        <w:jc w:val="both"/>
      </w:pPr>
      <w:r>
        <w:t>Cette offre de formation pourrait être doublée par des rendez-vous réguliers tout au long de la vie des accords, notamment des accords d’intéressement. A cet égard, le suivi de l’accord est uniquement dévolu au comité social et économique, conformément aux dispositions de l’article L. 3313-2 du code du travail. Cet article pourrait être complété pour détailler les moyens dévolus au CSE, et en son absence, la possibilité de créer une commission de suivi composé de salariés de l’entreprise, selon des modalités prévues dans l’accord (volontariat, tirage au sort…). Une journée de formation annuelle sur l’épargne salariale pourrait être instituée.</w:t>
      </w:r>
    </w:p>
    <w:p w:rsidR="00DE5825" w:rsidRDefault="00DE5825" w:rsidP="00DE5825">
      <w:pPr>
        <w:jc w:val="both"/>
      </w:pPr>
      <w:r>
        <w:t xml:space="preserve">Par ailleurs, un appui institutionnel pourrait être proposé aux entreprises par les organisations professionnelles d’employeurs (U2P, CPME, MEDEF…) ou de salariés. De la même façon, les Chambres de commerce et d’industries pourraient être sollicitées. De même, des initiatives de place, comme la Semaine de l’épargne salariale, pourraient constituer un relais d’information pédagogique pertinent, notamment </w:t>
      </w:r>
      <w:r w:rsidRPr="009A3C48">
        <w:rPr>
          <w:i/>
        </w:rPr>
        <w:t>via</w:t>
      </w:r>
      <w:r>
        <w:t xml:space="preserve"> l’accès à son site Internet. Par ailleurs, </w:t>
      </w:r>
      <w:r w:rsidRPr="00B71A91">
        <w:t xml:space="preserve">l’ordonnance n° 2017-1385 du 22 </w:t>
      </w:r>
      <w:r w:rsidRPr="00B71A91">
        <w:lastRenderedPageBreak/>
        <w:t>septembre 2017</w:t>
      </w:r>
      <w:r>
        <w:t xml:space="preserve"> en son article 9</w:t>
      </w:r>
      <w:r w:rsidRPr="00B71A91">
        <w:t xml:space="preserve"> instaure un Observatoire d'analyse et d'appui au dialogue social et à la négociation, </w:t>
      </w:r>
      <w:r>
        <w:t>au niveau</w:t>
      </w:r>
      <w:r w:rsidRPr="00B71A91">
        <w:t xml:space="preserve"> départemental, dont le rôle est d’établir un bilan annuel du dialogue social dans le département, donc de la négociation des accords d’épargne salariale</w:t>
      </w:r>
      <w:r>
        <w:t>. Il pourrait être l’interlocuteur des PME pour les informer sur le nombre et la typologie des accords d’épargne salariale. De plus, il pourrait être confié au COPIESAS la mise en place d’un plan d’information sur l’épargne salariale qui s’appuie sur des initiatives existantes, telle la semaine de l’épargne salariale.</w:t>
      </w:r>
      <w:r w:rsidR="007B54E1">
        <w:t xml:space="preserve"> </w:t>
      </w:r>
    </w:p>
    <w:p w:rsidR="00DE5825" w:rsidRPr="009A3C48" w:rsidRDefault="00DE5825" w:rsidP="00F0270F">
      <w:pPr>
        <w:pStyle w:val="COPIESASProposition"/>
      </w:pPr>
      <w:bookmarkStart w:id="45" w:name="_Toc509330474"/>
      <w:bookmarkStart w:id="46" w:name="_Toc509341616"/>
      <w:bookmarkStart w:id="47" w:name="_Toc509493623"/>
      <w:bookmarkStart w:id="48" w:name="_Toc509561892"/>
      <w:bookmarkStart w:id="49" w:name="_Toc509562133"/>
      <w:r w:rsidRPr="009A3C48">
        <w:t>Proposition n°</w:t>
      </w:r>
      <w:r w:rsidR="00D30CDA">
        <w:t>9</w:t>
      </w:r>
      <w:r w:rsidR="00D30CDA" w:rsidRPr="009A3C48">
        <w:t> </w:t>
      </w:r>
      <w:r w:rsidRPr="009A3C48">
        <w:t xml:space="preserve">: </w:t>
      </w:r>
      <w:r>
        <w:t xml:space="preserve">Favoriser </w:t>
      </w:r>
      <w:r w:rsidRPr="009A3C48">
        <w:t xml:space="preserve">les formations relatives à l’épargne salariale </w:t>
      </w:r>
      <w:r>
        <w:t>dans les PME au titre de la formation professionnelle</w:t>
      </w:r>
      <w:bookmarkEnd w:id="45"/>
      <w:bookmarkEnd w:id="46"/>
      <w:bookmarkEnd w:id="47"/>
      <w:bookmarkEnd w:id="48"/>
      <w:bookmarkEnd w:id="49"/>
    </w:p>
    <w:p w:rsidR="00DE5825" w:rsidRPr="009A3C48" w:rsidRDefault="00DE5825" w:rsidP="00F0270F">
      <w:pPr>
        <w:pStyle w:val="COPIESASProposition"/>
      </w:pPr>
      <w:bookmarkStart w:id="50" w:name="_Toc509330475"/>
      <w:bookmarkStart w:id="51" w:name="_Toc509341617"/>
      <w:bookmarkStart w:id="52" w:name="_Toc509493624"/>
      <w:bookmarkStart w:id="53" w:name="_Toc509561893"/>
      <w:bookmarkStart w:id="54" w:name="_Toc509562134"/>
      <w:r w:rsidRPr="009A3C48">
        <w:t>Proposition n°</w:t>
      </w:r>
      <w:r w:rsidR="00D30CDA">
        <w:t>10</w:t>
      </w:r>
      <w:r w:rsidR="00D30CDA" w:rsidRPr="009A3C48">
        <w:t> </w:t>
      </w:r>
      <w:r w:rsidRPr="009A3C48">
        <w:t>: Permettre aux TPE/PME de mettre en place une commission de suivi des accords au sein du CSE ou, en l’absence de CSE, composée de salariés volontaires</w:t>
      </w:r>
      <w:r>
        <w:t xml:space="preserve"> et instaurer une journée annuelle d’information</w:t>
      </w:r>
      <w:r w:rsidRPr="009A3C48">
        <w:t>.</w:t>
      </w:r>
      <w:bookmarkEnd w:id="50"/>
      <w:bookmarkEnd w:id="51"/>
      <w:bookmarkEnd w:id="52"/>
      <w:bookmarkEnd w:id="53"/>
      <w:bookmarkEnd w:id="54"/>
    </w:p>
    <w:p w:rsidR="00DE5825" w:rsidRPr="009A3C48" w:rsidRDefault="00DE5825" w:rsidP="00F0270F">
      <w:pPr>
        <w:pStyle w:val="COPIESASProposition"/>
      </w:pPr>
      <w:bookmarkStart w:id="55" w:name="_Toc509330476"/>
      <w:bookmarkStart w:id="56" w:name="_Toc509341618"/>
      <w:bookmarkStart w:id="57" w:name="_Toc509493625"/>
      <w:bookmarkStart w:id="58" w:name="_Toc509561894"/>
      <w:bookmarkStart w:id="59" w:name="_Toc509562135"/>
      <w:r w:rsidRPr="009A3C48">
        <w:t>Proposition n°1</w:t>
      </w:r>
      <w:r w:rsidR="00D30CDA">
        <w:t>1</w:t>
      </w:r>
      <w:r w:rsidRPr="009A3C48">
        <w:t xml:space="preserve"> : Promouvoir </w:t>
      </w:r>
      <w:r>
        <w:t xml:space="preserve">et appuyer </w:t>
      </w:r>
      <w:r w:rsidRPr="009A3C48">
        <w:t>les initiatives institutionnelles d’information sur l’épargne salariale.</w:t>
      </w:r>
      <w:bookmarkEnd w:id="55"/>
      <w:bookmarkEnd w:id="56"/>
      <w:bookmarkEnd w:id="57"/>
      <w:bookmarkEnd w:id="58"/>
      <w:bookmarkEnd w:id="59"/>
    </w:p>
    <w:p w:rsidR="00DE5825" w:rsidRDefault="005661EC" w:rsidP="00DE5825">
      <w:pPr>
        <w:jc w:val="both"/>
        <w:rPr>
          <w:b/>
        </w:rPr>
      </w:pPr>
      <w:r>
        <w:t xml:space="preserve">Un groupe de travail du COPIESAS </w:t>
      </w:r>
      <w:r w:rsidR="00CC559D">
        <w:t>sera</w:t>
      </w:r>
      <w:r>
        <w:t xml:space="preserve"> institué </w:t>
      </w:r>
      <w:r w:rsidR="00CC559D">
        <w:t>de façon à envisager des mesures concrètes en faveur du développement de la formation</w:t>
      </w:r>
      <w:r w:rsidR="005734A6">
        <w:t xml:space="preserve"> des salariés et des employeurs relative à l’épargne salariale, </w:t>
      </w:r>
      <w:r w:rsidR="00F67B72">
        <w:t>et</w:t>
      </w:r>
      <w:r>
        <w:t xml:space="preserve"> formuler toute recommandation en matière de formation.</w:t>
      </w:r>
    </w:p>
    <w:p w:rsidR="00DE5825" w:rsidRDefault="00DE5825" w:rsidP="00DE5825">
      <w:pPr>
        <w:rPr>
          <w:b/>
        </w:rPr>
      </w:pPr>
      <w:r>
        <w:rPr>
          <w:b/>
        </w:rPr>
        <w:br w:type="page"/>
      </w:r>
    </w:p>
    <w:p w:rsidR="00DE5825" w:rsidRPr="00FC1271" w:rsidRDefault="00DE5825" w:rsidP="00993C3C">
      <w:pPr>
        <w:pStyle w:val="COPIESAS1"/>
      </w:pPr>
      <w:bookmarkStart w:id="60" w:name="_Toc509513823"/>
      <w:r w:rsidRPr="00FC1271">
        <w:lastRenderedPageBreak/>
        <w:t>Chapitre 2 : Réviser la formule de calcul de la réserve spéciale de participation en vue de la clarifier</w:t>
      </w:r>
      <w:bookmarkEnd w:id="60"/>
    </w:p>
    <w:p w:rsidR="00DE5825" w:rsidRDefault="00DE5825" w:rsidP="00DE5825">
      <w:pPr>
        <w:jc w:val="both"/>
        <w:rPr>
          <w:b/>
        </w:rPr>
      </w:pPr>
    </w:p>
    <w:p w:rsidR="00DE5825" w:rsidRPr="008970AA" w:rsidRDefault="00DE5825" w:rsidP="00DE5825">
      <w:pPr>
        <w:jc w:val="both"/>
      </w:pPr>
      <w:r w:rsidRPr="008970AA">
        <w:t xml:space="preserve">Dans sa saisine du COPIESAS en date du 12 février 2018, la ministre du </w:t>
      </w:r>
      <w:r>
        <w:t>T</w:t>
      </w:r>
      <w:r w:rsidRPr="008970AA">
        <w:t xml:space="preserve">ravail a posé la question de la simplification de la formule de calcul de la réserve spéciale de la participation. Depuis sa création, </w:t>
      </w:r>
      <w:r>
        <w:t xml:space="preserve">en 1967, </w:t>
      </w:r>
      <w:r w:rsidRPr="008970AA">
        <w:t>cette formule est restée inchangée. Cette stabilité s’explique par l</w:t>
      </w:r>
      <w:r>
        <w:t>a</w:t>
      </w:r>
      <w:r w:rsidRPr="008970AA">
        <w:t xml:space="preserve"> difficulté d’améliorer cette formule et par les risques induits </w:t>
      </w:r>
      <w:r>
        <w:t>pour les entreprises et les salariés d’</w:t>
      </w:r>
      <w:r w:rsidRPr="008970AA">
        <w:t>une éventuelle modification. Cette crainte ne peut toutefois interdire un changement devenu nécessaire</w:t>
      </w:r>
      <w:r>
        <w:t> : la formule d’origine a été conçue dans l’économie française très industrialisée des années soixante, et qui s’est depuis majoritairement ouverte aux secteurs des services</w:t>
      </w:r>
      <w:r w:rsidRPr="008970AA">
        <w:t>. Dès lors, le COPIESAS avait pour mission d’expertiser plusieurs pistes de réflexion : un simple pourcentage du bénéfice, une formule de calcul simplifiée par rapport à la formule actuelle, ou le maintien de la formu</w:t>
      </w:r>
      <w:r>
        <w:t xml:space="preserve">le </w:t>
      </w:r>
      <w:r w:rsidRPr="008970AA">
        <w:t>actuelle en modifiant certains paramètres.</w:t>
      </w:r>
    </w:p>
    <w:p w:rsidR="00DE5825" w:rsidRPr="008970AA"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sidRPr="008970AA">
        <w:rPr>
          <w:b/>
        </w:rPr>
        <w:t xml:space="preserve">La </w:t>
      </w:r>
      <w:r>
        <w:rPr>
          <w:b/>
        </w:rPr>
        <w:t>f</w:t>
      </w:r>
      <w:r w:rsidRPr="008970AA">
        <w:rPr>
          <w:b/>
        </w:rPr>
        <w:t>ormule de calcul actuelle de la réserve de participation</w:t>
      </w:r>
    </w:p>
    <w:p w:rsidR="00DE5825" w:rsidRPr="003A5FBC"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3A5FBC">
        <w:t xml:space="preserve">Le versement de la participation est obligatoire dans les entreprises de 50 salariés ou plus, à quelques exceptions près (voir paragraphe ci-dessous sur le champ des simulations). </w:t>
      </w:r>
    </w:p>
    <w:p w:rsidR="00DE5825" w:rsidRPr="003A5FBC"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3A5FBC">
        <w:t xml:space="preserve">La formule de calcul de la réserve spéciale de participation (RSP) est actuellement la suivante : </w:t>
      </w:r>
    </w:p>
    <w:p w:rsidR="00DE5825" w:rsidRPr="003A5FBC"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3A5FBC">
        <w:tab/>
        <w:t>RSP=1/2*(bénéfice fiscal net d’impôts - 5 % * capitaux propres)*(salaires/valeur ajoutée)</w:t>
      </w:r>
    </w:p>
    <w:p w:rsidR="00DE5825" w:rsidRPr="003A5FBC"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3A5FBC">
        <w:t>Cette formule répond à une logique économique de partage des profits de l’entreprise entre les actionnaires et les salariés. On commence par déduire du bénéfice fiscal l’impôt sur les résultats, lequel revient à l’Etat et n’est donc pas à partager. Le « rabais », fixé depuis 1967 à 5 % des capitaux propres, correspond à un plancher de rémunération des capitaux investis par les actionnaires dans la société, au taux d’intérêt nominal de 5</w:t>
      </w:r>
      <w:r>
        <w:t> </w:t>
      </w:r>
      <w:r w:rsidRPr="003A5FBC">
        <w:t xml:space="preserve">%. Il vise à garantir une certaine équité entre les modes de financement par emprunt ou ouverture du capital, car les intérêts d'emprunt sont déduits du bénéfice de l’entreprise (compte de résultat financier). Au-delà de cette rémunération plancher, le bénéfice est considéré comme un surplus à partager entre les salariés et les actionnaires au prorata de la contribution de chaque facteur de production (travail et capital) à la création de richesse de l’entreprise. La part des salaires dans la valeur ajoutée sert de clef de répartition, qui conduit à une RSP d’autant plus faible que l’activité est plus capitalistique. </w:t>
      </w:r>
    </w:p>
    <w:p w:rsidR="00DE5825" w:rsidRPr="003A5FBC"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3A5FBC">
        <w:t xml:space="preserve">Chaque élément de la formule fait l’objet d’aménagements spécifiques pour le calcul de la réserve spéciale de participation, ce qui renforce considérablement sa complexité. Dans le cas général des sociétés </w:t>
      </w:r>
      <w:r>
        <w:t>soumises à l’impôt sur les sociétés (</w:t>
      </w:r>
      <w:r w:rsidRPr="003A5FBC">
        <w:t>IS</w:t>
      </w:r>
      <w:r>
        <w:t>)</w:t>
      </w:r>
      <w:r w:rsidRPr="003A5FBC">
        <w:t>, les ajustements sont les suivants :</w:t>
      </w:r>
    </w:p>
    <w:p w:rsidR="00DE5825" w:rsidRPr="003A5FBC"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3A5FBC">
        <w:t>-</w:t>
      </w:r>
      <w:r w:rsidRPr="003A5FBC">
        <w:tab/>
      </w:r>
      <w:r w:rsidRPr="00CA6A11">
        <w:rPr>
          <w:b/>
        </w:rPr>
        <w:t>Bénéfice fiscal</w:t>
      </w:r>
      <w:r w:rsidRPr="003A5FBC">
        <w:t xml:space="preserve"> : on retient le bénéfice fiscal en tenant compte du report éventuel de déficits antérieurs sur 5 ans, et de la plupart des réductions et crédits d’impôts (sauf notamment exonération des zones d’aide à finalité régionale les deux premières années suivant la création et abattement d’un tiers sur les résultats tirés d’une exploitation dans les DOM). </w:t>
      </w:r>
    </w:p>
    <w:p w:rsidR="00DE5825" w:rsidRPr="003A5FBC"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3A5FBC">
        <w:lastRenderedPageBreak/>
        <w:t>-</w:t>
      </w:r>
      <w:r w:rsidRPr="003A5FBC">
        <w:tab/>
      </w:r>
      <w:r w:rsidRPr="00CA6A11">
        <w:rPr>
          <w:b/>
        </w:rPr>
        <w:t>Impôts</w:t>
      </w:r>
      <w:r w:rsidRPr="003A5FBC">
        <w:t xml:space="preserve"> : l’impôt sur les résultats est estimé par application du taux d’imposition de l’entreprise à la base d’imposition constituée par le bénéfice fiscal (33</w:t>
      </w:r>
      <w:r>
        <w:t> </w:t>
      </w:r>
      <w:r w:rsidRPr="003A5FBC">
        <w:t xml:space="preserve">% la plupart du temps au-delà de 50 salariés). Les réductions et crédits d’impôts ne sont plus pris en compte depuis l’arrêt du Conseil d’Etat du 20 mars 2013 (n°347633). </w:t>
      </w:r>
    </w:p>
    <w:p w:rsidR="00DE5825" w:rsidRPr="003A5FBC"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3A5FBC">
        <w:t>-</w:t>
      </w:r>
      <w:r w:rsidRPr="003A5FBC">
        <w:tab/>
      </w:r>
      <w:r w:rsidRPr="00CA6A11">
        <w:rPr>
          <w:b/>
        </w:rPr>
        <w:t>Capitaux propres</w:t>
      </w:r>
      <w:r w:rsidRPr="003A5FBC">
        <w:t xml:space="preserve"> : on retient les capitaux propres avant affectation du résultat (soit ceux qui ont été immobilisés pendant l’année d’exercice), hors subventions d’investissement, réserve de réévaluation, amortissements dérogatoires et provision spéciale de réévaluation. </w:t>
      </w:r>
    </w:p>
    <w:p w:rsidR="00DE5825" w:rsidRPr="003A5FBC"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3A5FBC">
        <w:t>-</w:t>
      </w:r>
      <w:r w:rsidRPr="003A5FBC">
        <w:tab/>
      </w:r>
      <w:r w:rsidRPr="00CA6A11">
        <w:rPr>
          <w:b/>
        </w:rPr>
        <w:t>Salaires</w:t>
      </w:r>
      <w:r w:rsidRPr="003A5FBC">
        <w:t xml:space="preserve"> : les salaires ne correspondent pas aux salaires et traitements des liasses fiscales mais aux salaires bruts déclarés dans les DADS. Lorsque l’exercice comptable ne correspond pas à l’année civile, ceux-ci doivent être recalculés. </w:t>
      </w:r>
    </w:p>
    <w:p w:rsidR="00DE5825" w:rsidRPr="003A5FBC"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3A5FBC">
        <w:t>-</w:t>
      </w:r>
      <w:r w:rsidRPr="003A5FBC">
        <w:tab/>
      </w:r>
      <w:r w:rsidRPr="00CA6A11">
        <w:rPr>
          <w:b/>
        </w:rPr>
        <w:t>Valeur ajoutée</w:t>
      </w:r>
      <w:r w:rsidRPr="003A5FBC">
        <w:t xml:space="preserve"> : le calcul habituel est majoré des produits financiers, des subventions d’exploitation, et des «</w:t>
      </w:r>
      <w:r>
        <w:t> </w:t>
      </w:r>
      <w:r w:rsidRPr="003A5FBC">
        <w:t>autres produits</w:t>
      </w:r>
      <w:r>
        <w:t> </w:t>
      </w:r>
      <w:r w:rsidRPr="003A5FBC">
        <w:t>» et minoré des «</w:t>
      </w:r>
      <w:r>
        <w:t> </w:t>
      </w:r>
      <w:r w:rsidRPr="003A5FBC">
        <w:t>autres charges</w:t>
      </w:r>
      <w:r>
        <w:t> </w:t>
      </w:r>
      <w:r w:rsidRPr="003A5FBC">
        <w:t xml:space="preserve">». Tous ces éléments figurent dans les liasses fiscales. </w:t>
      </w:r>
    </w:p>
    <w:p w:rsidR="00DE5825"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sidRPr="003A5FBC">
        <w:t>Les montants de participation versés à chaque salarié sont plafonnés par la sécurité sociale</w:t>
      </w:r>
      <w:r>
        <w:t xml:space="preserve"> </w:t>
      </w:r>
      <w:r w:rsidRPr="00CA6A11">
        <w:t xml:space="preserve">aux ¾ du </w:t>
      </w:r>
      <w:r>
        <w:t>plafond annuel de la sécurité sociale (</w:t>
      </w:r>
      <w:r w:rsidRPr="00CA6A11">
        <w:t>PASS</w:t>
      </w:r>
      <w:r>
        <w:t xml:space="preserve">), soit </w:t>
      </w:r>
      <w:r w:rsidRPr="00D82555">
        <w:t>28</w:t>
      </w:r>
      <w:r>
        <w:t> 530 euros</w:t>
      </w:r>
      <w:r w:rsidRPr="00CA6A11">
        <w:t xml:space="preserve"> </w:t>
      </w:r>
      <w:r w:rsidRPr="003A5FBC">
        <w:t xml:space="preserve">par salarié pour la participation </w:t>
      </w:r>
      <w:r>
        <w:t xml:space="preserve">fondée sur les résultats de </w:t>
      </w:r>
      <w:r w:rsidRPr="00CA6A11">
        <w:t>201</w:t>
      </w:r>
      <w:r>
        <w:t>5</w:t>
      </w:r>
      <w:r w:rsidRPr="003A5FBC">
        <w:t>). Lorsque la réserve spéciale de participation excède les plafonds, les reliquats restent en réserve et sont reportés en versements sur les exercices suivants.</w:t>
      </w:r>
      <w:r w:rsidRPr="008970AA">
        <w:rPr>
          <w:b/>
        </w:rPr>
        <w:t xml:space="preserve"> </w:t>
      </w:r>
    </w:p>
    <w:p w:rsidR="00DE5825" w:rsidRDefault="00DE5825" w:rsidP="00F0270F">
      <w:pPr>
        <w:pStyle w:val="COPIESAS2"/>
      </w:pPr>
      <w:bookmarkStart w:id="61" w:name="_Toc509513824"/>
      <w:r w:rsidRPr="00571A4C">
        <w:t>Etat des lieux :</w:t>
      </w:r>
      <w:bookmarkEnd w:id="61"/>
      <w:r w:rsidRPr="00571A4C">
        <w:t xml:space="preserve"> </w:t>
      </w:r>
    </w:p>
    <w:p w:rsidR="000E689E" w:rsidRPr="009014A4" w:rsidRDefault="000E689E" w:rsidP="00F85D64">
      <w:pPr>
        <w:jc w:val="both"/>
      </w:pPr>
      <w:r w:rsidRPr="009014A4">
        <w:t xml:space="preserve">En 2015, </w:t>
      </w:r>
      <w:r w:rsidR="007C0D4D" w:rsidRPr="009014A4">
        <w:t xml:space="preserve">4,5 millions de salariés ont perçu une prime de participation. </w:t>
      </w:r>
      <w:r w:rsidRPr="009014A4">
        <w:t xml:space="preserve">Les sommes versées </w:t>
      </w:r>
      <w:r w:rsidR="007C0D4D" w:rsidRPr="009014A4">
        <w:t xml:space="preserve">à ce titre </w:t>
      </w:r>
      <w:r w:rsidRPr="009014A4">
        <w:t>ont augmenté pour la première fois depuis 2010 : le montant moyen est de 1407 euros par salarié, pour un montant total de 6,363 milliards d’euros</w:t>
      </w:r>
      <w:r w:rsidR="00F67B72">
        <w:t xml:space="preserve"> </w:t>
      </w:r>
      <w:r w:rsidR="00F67B72" w:rsidRPr="009014A4">
        <w:rPr>
          <w:i/>
        </w:rPr>
        <w:t>(</w:t>
      </w:r>
      <w:r w:rsidR="007D3928" w:rsidRPr="009014A4">
        <w:rPr>
          <w:i/>
        </w:rPr>
        <w:t xml:space="preserve">DARES </w:t>
      </w:r>
      <w:r w:rsidR="00F67B72" w:rsidRPr="009014A4">
        <w:rPr>
          <w:i/>
        </w:rPr>
        <w:t>Résultats août 2017 N° 055)</w:t>
      </w:r>
      <w:r w:rsidR="007C0D4D" w:rsidRPr="009014A4">
        <w:t>.</w:t>
      </w:r>
    </w:p>
    <w:p w:rsidR="007C0D4D" w:rsidRDefault="007C0D4D" w:rsidP="00F85D64">
      <w:pPr>
        <w:jc w:val="both"/>
      </w:pPr>
      <w:r w:rsidRPr="009014A4">
        <w:t xml:space="preserve">De fait, la proportion de salariés ayant accès à la participation dépend nettement de la taille de l’entreprise : en 2015, 3,2 % des salariés étaient couverts en deçà du seuil légal de 50 salariés, contre 69 % au-delà. Plusieurs raisons expliquent que cette proportion n’atteint pas 100 % au-delà de 50 salariés. </w:t>
      </w:r>
      <w:r w:rsidR="007D3928">
        <w:t>En premier lieu</w:t>
      </w:r>
      <w:r w:rsidRPr="009014A4">
        <w:t>, la définition légale des effectifs à prendre en compte peut conduire à ne pas retenir la totalité de ceux présents au 31 décembre (1). D</w:t>
      </w:r>
      <w:r w:rsidR="007D3928">
        <w:t>e plus</w:t>
      </w:r>
      <w:r w:rsidRPr="009014A4">
        <w:t>, le caractère obligatoire ne s’applique pas aux entreprises qui, en raison de leur nature ou de leur forme juridique, ne réalisent aucun bénéfice passible de l’impôt, ni à celles, concurrentielles, n’ayant pu dégager de profit depuis leur création. En outre, les entreprises récemment créées ne sont tenues par l’obligation de mettre en place la participation qu’à partir du troisième exercice clos après leur création</w:t>
      </w:r>
      <w:r w:rsidR="007D3928">
        <w:t xml:space="preserve"> </w:t>
      </w:r>
      <w:r w:rsidR="007D3928" w:rsidRPr="007D3928">
        <w:t>et les entreprises venant de franchir le seuil de 50 salariés et disposant d’un accord d’intéressement ne sont soumis à l’obligation d’avoir un accord de participation qu’au troisième exercice clos après le franchissement du seuil d’assujettissement</w:t>
      </w:r>
      <w:r w:rsidRPr="009014A4">
        <w:t>. Enfin, les entreprises publiques ne sont pas astreintes à la participation, sauf cas prévus par décret.</w:t>
      </w:r>
    </w:p>
    <w:p w:rsidR="009014A4" w:rsidRDefault="009014A4" w:rsidP="00F85D64">
      <w:pPr>
        <w:jc w:val="both"/>
      </w:pPr>
    </w:p>
    <w:p w:rsidR="009014A4" w:rsidRDefault="009014A4" w:rsidP="009014A4">
      <w:pPr>
        <w:autoSpaceDE w:val="0"/>
        <w:autoSpaceDN w:val="0"/>
        <w:adjustRightInd w:val="0"/>
        <w:jc w:val="center"/>
        <w:rPr>
          <w:rFonts w:ascii="Arial" w:hAnsi="Arial" w:cs="Arial"/>
          <w:b/>
          <w:bCs/>
          <w:sz w:val="20"/>
          <w:szCs w:val="20"/>
        </w:rPr>
      </w:pPr>
    </w:p>
    <w:p w:rsidR="009014A4" w:rsidRDefault="009014A4" w:rsidP="009014A4">
      <w:pPr>
        <w:autoSpaceDE w:val="0"/>
        <w:autoSpaceDN w:val="0"/>
        <w:adjustRightInd w:val="0"/>
        <w:jc w:val="center"/>
        <w:rPr>
          <w:rFonts w:ascii="Arial" w:hAnsi="Arial" w:cs="Arial"/>
          <w:b/>
          <w:bCs/>
          <w:sz w:val="20"/>
          <w:szCs w:val="20"/>
        </w:rPr>
      </w:pPr>
    </w:p>
    <w:p w:rsidR="009014A4" w:rsidRDefault="009014A4" w:rsidP="009014A4">
      <w:pPr>
        <w:autoSpaceDE w:val="0"/>
        <w:autoSpaceDN w:val="0"/>
        <w:adjustRightInd w:val="0"/>
        <w:jc w:val="center"/>
        <w:rPr>
          <w:rFonts w:ascii="Arial" w:hAnsi="Arial" w:cs="Arial"/>
          <w:b/>
          <w:bCs/>
          <w:sz w:val="20"/>
          <w:szCs w:val="20"/>
        </w:rPr>
      </w:pPr>
    </w:p>
    <w:p w:rsidR="009014A4" w:rsidRDefault="009014A4" w:rsidP="009014A4">
      <w:pPr>
        <w:autoSpaceDE w:val="0"/>
        <w:autoSpaceDN w:val="0"/>
        <w:adjustRightInd w:val="0"/>
        <w:jc w:val="center"/>
        <w:rPr>
          <w:rFonts w:ascii="Arial" w:hAnsi="Arial" w:cs="Arial"/>
          <w:b/>
          <w:bCs/>
          <w:sz w:val="20"/>
          <w:szCs w:val="20"/>
        </w:rPr>
      </w:pPr>
    </w:p>
    <w:p w:rsidR="00CD0AB2" w:rsidRPr="001A3975" w:rsidRDefault="00CD0AB2" w:rsidP="009014A4">
      <w:pPr>
        <w:autoSpaceDE w:val="0"/>
        <w:autoSpaceDN w:val="0"/>
        <w:adjustRightInd w:val="0"/>
        <w:jc w:val="center"/>
        <w:rPr>
          <w:rFonts w:ascii="Arial" w:hAnsi="Arial" w:cs="Arial"/>
          <w:b/>
          <w:bCs/>
          <w:sz w:val="20"/>
          <w:szCs w:val="20"/>
        </w:rPr>
      </w:pPr>
      <w:r w:rsidRPr="001A3975">
        <w:rPr>
          <w:rFonts w:ascii="Arial" w:hAnsi="Arial" w:cs="Arial"/>
          <w:b/>
          <w:bCs/>
          <w:sz w:val="20"/>
          <w:szCs w:val="20"/>
        </w:rPr>
        <w:t>Poids de la participation versée en 2016 dans la masse salariale des bénéficiaires</w:t>
      </w:r>
      <w:r>
        <w:rPr>
          <w:rFonts w:ascii="Arial" w:hAnsi="Arial" w:cs="Arial"/>
          <w:b/>
          <w:bCs/>
          <w:sz w:val="20"/>
          <w:szCs w:val="20"/>
        </w:rPr>
        <w:t xml:space="preserve"> </w:t>
      </w:r>
      <w:r w:rsidRPr="001A3975">
        <w:rPr>
          <w:rFonts w:ascii="Arial" w:hAnsi="Arial" w:cs="Arial"/>
          <w:b/>
          <w:bCs/>
          <w:sz w:val="20"/>
          <w:szCs w:val="20"/>
        </w:rPr>
        <w:t>par taille d’entreprise</w:t>
      </w:r>
    </w:p>
    <w:tbl>
      <w:tblPr>
        <w:tblW w:w="4342" w:type="dxa"/>
        <w:jc w:val="center"/>
        <w:tblInd w:w="55" w:type="dxa"/>
        <w:tblCellMar>
          <w:left w:w="70" w:type="dxa"/>
          <w:right w:w="70" w:type="dxa"/>
        </w:tblCellMar>
        <w:tblLook w:val="04A0" w:firstRow="1" w:lastRow="0" w:firstColumn="1" w:lastColumn="0" w:noHBand="0" w:noVBand="1"/>
      </w:tblPr>
      <w:tblGrid>
        <w:gridCol w:w="3340"/>
        <w:gridCol w:w="1002"/>
      </w:tblGrid>
      <w:tr w:rsidR="00CD0AB2" w:rsidRPr="001A3975" w:rsidTr="009014A4">
        <w:trPr>
          <w:trHeight w:val="676"/>
          <w:jc w:val="center"/>
        </w:trPr>
        <w:tc>
          <w:tcPr>
            <w:tcW w:w="3340" w:type="dxa"/>
            <w:tcBorders>
              <w:top w:val="single" w:sz="4" w:space="0" w:color="auto"/>
              <w:left w:val="single" w:sz="4" w:space="0" w:color="auto"/>
              <w:bottom w:val="single" w:sz="4" w:space="0" w:color="auto"/>
              <w:right w:val="nil"/>
            </w:tcBorders>
            <w:shd w:val="clear" w:color="auto" w:fill="auto"/>
            <w:vAlign w:val="center"/>
            <w:hideMark/>
          </w:tcPr>
          <w:p w:rsidR="00CD0AB2" w:rsidRPr="001A3975" w:rsidRDefault="00CD0AB2" w:rsidP="0009477A">
            <w:pPr>
              <w:spacing w:line="240" w:lineRule="auto"/>
              <w:jc w:val="center"/>
              <w:rPr>
                <w:rFonts w:ascii="Arial" w:hAnsi="Arial" w:cs="Arial"/>
                <w:color w:val="000000"/>
                <w:sz w:val="20"/>
                <w:szCs w:val="20"/>
              </w:rPr>
            </w:pPr>
            <w:r w:rsidRPr="001A3975">
              <w:rPr>
                <w:rFonts w:ascii="Arial" w:hAnsi="Arial" w:cs="Arial"/>
                <w:color w:val="000000"/>
                <w:sz w:val="20"/>
                <w:szCs w:val="20"/>
              </w:rPr>
              <w:t>Taille de l'entreprise</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0AB2" w:rsidRPr="001A3975" w:rsidRDefault="00CD0AB2" w:rsidP="0009477A">
            <w:pPr>
              <w:spacing w:line="240" w:lineRule="auto"/>
              <w:jc w:val="center"/>
              <w:rPr>
                <w:rFonts w:ascii="Arial" w:hAnsi="Arial" w:cs="Arial"/>
                <w:color w:val="000000"/>
                <w:sz w:val="20"/>
                <w:szCs w:val="20"/>
              </w:rPr>
            </w:pPr>
            <w:r w:rsidRPr="001A3975">
              <w:rPr>
                <w:rFonts w:ascii="Arial" w:hAnsi="Arial" w:cs="Arial"/>
                <w:color w:val="000000"/>
                <w:sz w:val="20"/>
                <w:szCs w:val="20"/>
              </w:rPr>
              <w:t>Part en %</w:t>
            </w:r>
          </w:p>
        </w:tc>
      </w:tr>
      <w:tr w:rsidR="00CD0AB2" w:rsidRPr="001A3975" w:rsidTr="00916EA3">
        <w:trPr>
          <w:trHeight w:val="300"/>
          <w:jc w:val="center"/>
        </w:trPr>
        <w:tc>
          <w:tcPr>
            <w:tcW w:w="3340" w:type="dxa"/>
            <w:tcBorders>
              <w:top w:val="single" w:sz="4" w:space="0" w:color="auto"/>
              <w:left w:val="single" w:sz="4" w:space="0" w:color="auto"/>
              <w:bottom w:val="dashSmallGap" w:sz="4" w:space="0" w:color="auto"/>
              <w:right w:val="nil"/>
            </w:tcBorders>
            <w:shd w:val="clear" w:color="auto" w:fill="auto"/>
            <w:vAlign w:val="center"/>
            <w:hideMark/>
          </w:tcPr>
          <w:p w:rsidR="00CD0AB2" w:rsidRPr="001A3975" w:rsidRDefault="00CD0AB2" w:rsidP="0009477A">
            <w:pPr>
              <w:spacing w:line="240" w:lineRule="auto"/>
              <w:rPr>
                <w:rFonts w:ascii="Arial" w:hAnsi="Arial" w:cs="Arial"/>
                <w:color w:val="000000"/>
                <w:sz w:val="20"/>
                <w:szCs w:val="20"/>
              </w:rPr>
            </w:pPr>
            <w:r w:rsidRPr="001A3975">
              <w:rPr>
                <w:rFonts w:ascii="Arial" w:hAnsi="Arial" w:cs="Arial"/>
                <w:color w:val="000000"/>
                <w:sz w:val="20"/>
                <w:szCs w:val="20"/>
              </w:rPr>
              <w:t>10 à 49 salariés</w:t>
            </w:r>
          </w:p>
        </w:tc>
        <w:tc>
          <w:tcPr>
            <w:tcW w:w="1002"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CD0AB2" w:rsidRPr="001A3975" w:rsidRDefault="00CD0AB2" w:rsidP="0009477A">
            <w:pPr>
              <w:spacing w:line="240" w:lineRule="auto"/>
              <w:jc w:val="center"/>
              <w:rPr>
                <w:rFonts w:ascii="Arial" w:hAnsi="Arial" w:cs="Arial"/>
                <w:color w:val="000000"/>
                <w:sz w:val="20"/>
                <w:szCs w:val="20"/>
              </w:rPr>
            </w:pPr>
            <w:r w:rsidRPr="001A3975">
              <w:rPr>
                <w:rFonts w:ascii="Arial" w:hAnsi="Arial" w:cs="Arial"/>
                <w:color w:val="000000"/>
                <w:sz w:val="20"/>
                <w:szCs w:val="20"/>
              </w:rPr>
              <w:t>4,3</w:t>
            </w:r>
          </w:p>
        </w:tc>
      </w:tr>
      <w:tr w:rsidR="00CD0AB2" w:rsidRPr="001A3975" w:rsidTr="00916EA3">
        <w:trPr>
          <w:trHeight w:val="300"/>
          <w:jc w:val="center"/>
        </w:trPr>
        <w:tc>
          <w:tcPr>
            <w:tcW w:w="3340" w:type="dxa"/>
            <w:tcBorders>
              <w:top w:val="dashSmallGap" w:sz="4" w:space="0" w:color="auto"/>
              <w:left w:val="single" w:sz="4" w:space="0" w:color="auto"/>
              <w:bottom w:val="nil"/>
              <w:right w:val="nil"/>
            </w:tcBorders>
            <w:shd w:val="clear" w:color="auto" w:fill="auto"/>
            <w:vAlign w:val="center"/>
            <w:hideMark/>
          </w:tcPr>
          <w:p w:rsidR="00CD0AB2" w:rsidRPr="001A3975" w:rsidRDefault="00CD0AB2" w:rsidP="0009477A">
            <w:pPr>
              <w:spacing w:line="240" w:lineRule="auto"/>
              <w:rPr>
                <w:rFonts w:ascii="Arial" w:hAnsi="Arial" w:cs="Arial"/>
                <w:color w:val="000000"/>
                <w:sz w:val="20"/>
                <w:szCs w:val="20"/>
              </w:rPr>
            </w:pPr>
            <w:r w:rsidRPr="001A3975">
              <w:rPr>
                <w:rFonts w:ascii="Arial" w:hAnsi="Arial" w:cs="Arial"/>
                <w:color w:val="000000"/>
                <w:sz w:val="20"/>
                <w:szCs w:val="20"/>
              </w:rPr>
              <w:t>50 à 99 salariés</w:t>
            </w:r>
          </w:p>
        </w:tc>
        <w:tc>
          <w:tcPr>
            <w:tcW w:w="1002" w:type="dxa"/>
            <w:tcBorders>
              <w:top w:val="dashSmallGap" w:sz="4" w:space="0" w:color="auto"/>
              <w:left w:val="single" w:sz="4" w:space="0" w:color="auto"/>
              <w:bottom w:val="nil"/>
              <w:right w:val="single" w:sz="4" w:space="0" w:color="auto"/>
            </w:tcBorders>
            <w:shd w:val="clear" w:color="auto" w:fill="auto"/>
            <w:vAlign w:val="center"/>
            <w:hideMark/>
          </w:tcPr>
          <w:p w:rsidR="00CD0AB2" w:rsidRPr="001A3975" w:rsidRDefault="00CD0AB2" w:rsidP="0009477A">
            <w:pPr>
              <w:spacing w:line="240" w:lineRule="auto"/>
              <w:jc w:val="center"/>
              <w:rPr>
                <w:rFonts w:ascii="Arial" w:hAnsi="Arial" w:cs="Arial"/>
                <w:color w:val="000000"/>
                <w:sz w:val="20"/>
                <w:szCs w:val="20"/>
              </w:rPr>
            </w:pPr>
            <w:r w:rsidRPr="001A3975">
              <w:rPr>
                <w:rFonts w:ascii="Arial" w:hAnsi="Arial" w:cs="Arial"/>
                <w:color w:val="000000"/>
                <w:sz w:val="20"/>
                <w:szCs w:val="20"/>
              </w:rPr>
              <w:t>4,3</w:t>
            </w:r>
          </w:p>
        </w:tc>
      </w:tr>
      <w:tr w:rsidR="00CD0AB2" w:rsidRPr="001A3975" w:rsidTr="00916EA3">
        <w:trPr>
          <w:trHeight w:val="300"/>
          <w:jc w:val="center"/>
        </w:trPr>
        <w:tc>
          <w:tcPr>
            <w:tcW w:w="3340" w:type="dxa"/>
            <w:tcBorders>
              <w:top w:val="nil"/>
              <w:left w:val="single" w:sz="4" w:space="0" w:color="auto"/>
              <w:bottom w:val="nil"/>
              <w:right w:val="nil"/>
            </w:tcBorders>
            <w:shd w:val="clear" w:color="auto" w:fill="auto"/>
            <w:vAlign w:val="center"/>
            <w:hideMark/>
          </w:tcPr>
          <w:p w:rsidR="00CD0AB2" w:rsidRPr="001A3975" w:rsidRDefault="00CD0AB2" w:rsidP="0009477A">
            <w:pPr>
              <w:spacing w:line="240" w:lineRule="auto"/>
              <w:rPr>
                <w:rFonts w:ascii="Arial" w:hAnsi="Arial" w:cs="Arial"/>
                <w:color w:val="000000"/>
                <w:sz w:val="20"/>
                <w:szCs w:val="20"/>
              </w:rPr>
            </w:pPr>
            <w:r w:rsidRPr="001A3975">
              <w:rPr>
                <w:rFonts w:ascii="Arial" w:hAnsi="Arial" w:cs="Arial"/>
                <w:color w:val="000000"/>
                <w:sz w:val="20"/>
                <w:szCs w:val="20"/>
              </w:rPr>
              <w:t>100 à 249 salariés</w:t>
            </w:r>
          </w:p>
        </w:tc>
        <w:tc>
          <w:tcPr>
            <w:tcW w:w="1002" w:type="dxa"/>
            <w:tcBorders>
              <w:top w:val="nil"/>
              <w:left w:val="single" w:sz="4" w:space="0" w:color="auto"/>
              <w:bottom w:val="nil"/>
              <w:right w:val="single" w:sz="4" w:space="0" w:color="auto"/>
            </w:tcBorders>
            <w:shd w:val="clear" w:color="auto" w:fill="auto"/>
            <w:vAlign w:val="center"/>
            <w:hideMark/>
          </w:tcPr>
          <w:p w:rsidR="00CD0AB2" w:rsidRPr="001A3975" w:rsidRDefault="00CD0AB2" w:rsidP="0009477A">
            <w:pPr>
              <w:spacing w:line="240" w:lineRule="auto"/>
              <w:jc w:val="center"/>
              <w:rPr>
                <w:rFonts w:ascii="Arial" w:hAnsi="Arial" w:cs="Arial"/>
                <w:color w:val="000000"/>
                <w:sz w:val="20"/>
                <w:szCs w:val="20"/>
              </w:rPr>
            </w:pPr>
            <w:r w:rsidRPr="001A3975">
              <w:rPr>
                <w:rFonts w:ascii="Arial" w:hAnsi="Arial" w:cs="Arial"/>
                <w:color w:val="000000"/>
                <w:sz w:val="20"/>
                <w:szCs w:val="20"/>
              </w:rPr>
              <w:t>4,2</w:t>
            </w:r>
          </w:p>
        </w:tc>
      </w:tr>
      <w:tr w:rsidR="00CD0AB2" w:rsidRPr="001A3975" w:rsidTr="00916EA3">
        <w:trPr>
          <w:trHeight w:val="300"/>
          <w:jc w:val="center"/>
        </w:trPr>
        <w:tc>
          <w:tcPr>
            <w:tcW w:w="3340" w:type="dxa"/>
            <w:tcBorders>
              <w:top w:val="nil"/>
              <w:left w:val="single" w:sz="4" w:space="0" w:color="auto"/>
              <w:bottom w:val="nil"/>
              <w:right w:val="nil"/>
            </w:tcBorders>
            <w:shd w:val="clear" w:color="auto" w:fill="auto"/>
            <w:vAlign w:val="center"/>
            <w:hideMark/>
          </w:tcPr>
          <w:p w:rsidR="00CD0AB2" w:rsidRPr="001A3975" w:rsidRDefault="00CD0AB2" w:rsidP="0009477A">
            <w:pPr>
              <w:spacing w:line="240" w:lineRule="auto"/>
              <w:rPr>
                <w:rFonts w:ascii="Arial" w:hAnsi="Arial" w:cs="Arial"/>
                <w:color w:val="000000"/>
                <w:sz w:val="20"/>
                <w:szCs w:val="20"/>
              </w:rPr>
            </w:pPr>
            <w:r w:rsidRPr="001A3975">
              <w:rPr>
                <w:rFonts w:ascii="Arial" w:hAnsi="Arial" w:cs="Arial"/>
                <w:color w:val="000000"/>
                <w:sz w:val="20"/>
                <w:szCs w:val="20"/>
              </w:rPr>
              <w:t>250 à 499 salariés</w:t>
            </w:r>
          </w:p>
        </w:tc>
        <w:tc>
          <w:tcPr>
            <w:tcW w:w="1002" w:type="dxa"/>
            <w:tcBorders>
              <w:top w:val="nil"/>
              <w:left w:val="single" w:sz="4" w:space="0" w:color="auto"/>
              <w:bottom w:val="nil"/>
              <w:right w:val="single" w:sz="4" w:space="0" w:color="auto"/>
            </w:tcBorders>
            <w:shd w:val="clear" w:color="auto" w:fill="auto"/>
            <w:vAlign w:val="center"/>
            <w:hideMark/>
          </w:tcPr>
          <w:p w:rsidR="00CD0AB2" w:rsidRPr="001A3975" w:rsidRDefault="00CD0AB2" w:rsidP="0009477A">
            <w:pPr>
              <w:spacing w:line="240" w:lineRule="auto"/>
              <w:jc w:val="center"/>
              <w:rPr>
                <w:rFonts w:ascii="Arial" w:hAnsi="Arial" w:cs="Arial"/>
                <w:color w:val="000000"/>
                <w:sz w:val="20"/>
                <w:szCs w:val="20"/>
              </w:rPr>
            </w:pPr>
            <w:r w:rsidRPr="001A3975">
              <w:rPr>
                <w:rFonts w:ascii="Arial" w:hAnsi="Arial" w:cs="Arial"/>
                <w:color w:val="000000"/>
                <w:sz w:val="20"/>
                <w:szCs w:val="20"/>
              </w:rPr>
              <w:t>4,2</w:t>
            </w:r>
          </w:p>
        </w:tc>
      </w:tr>
      <w:tr w:rsidR="00CD0AB2" w:rsidRPr="001A3975" w:rsidTr="00916EA3">
        <w:trPr>
          <w:trHeight w:val="300"/>
          <w:jc w:val="center"/>
        </w:trPr>
        <w:tc>
          <w:tcPr>
            <w:tcW w:w="3340" w:type="dxa"/>
            <w:tcBorders>
              <w:top w:val="nil"/>
              <w:left w:val="single" w:sz="4" w:space="0" w:color="auto"/>
              <w:bottom w:val="nil"/>
              <w:right w:val="nil"/>
            </w:tcBorders>
            <w:shd w:val="clear" w:color="auto" w:fill="auto"/>
            <w:vAlign w:val="center"/>
            <w:hideMark/>
          </w:tcPr>
          <w:p w:rsidR="00CD0AB2" w:rsidRPr="001A3975" w:rsidRDefault="00CD0AB2" w:rsidP="0009477A">
            <w:pPr>
              <w:spacing w:line="240" w:lineRule="auto"/>
              <w:rPr>
                <w:rFonts w:ascii="Arial" w:hAnsi="Arial" w:cs="Arial"/>
                <w:color w:val="000000"/>
                <w:sz w:val="20"/>
                <w:szCs w:val="20"/>
              </w:rPr>
            </w:pPr>
            <w:r w:rsidRPr="001A3975">
              <w:rPr>
                <w:rFonts w:ascii="Arial" w:hAnsi="Arial" w:cs="Arial"/>
                <w:color w:val="000000"/>
                <w:sz w:val="20"/>
                <w:szCs w:val="20"/>
              </w:rPr>
              <w:t>500 à 999 salariés</w:t>
            </w:r>
          </w:p>
        </w:tc>
        <w:tc>
          <w:tcPr>
            <w:tcW w:w="1002" w:type="dxa"/>
            <w:tcBorders>
              <w:top w:val="nil"/>
              <w:left w:val="single" w:sz="4" w:space="0" w:color="auto"/>
              <w:bottom w:val="nil"/>
              <w:right w:val="single" w:sz="4" w:space="0" w:color="auto"/>
            </w:tcBorders>
            <w:shd w:val="clear" w:color="auto" w:fill="auto"/>
            <w:vAlign w:val="center"/>
            <w:hideMark/>
          </w:tcPr>
          <w:p w:rsidR="00CD0AB2" w:rsidRPr="001A3975" w:rsidRDefault="00CD0AB2" w:rsidP="0009477A">
            <w:pPr>
              <w:spacing w:line="240" w:lineRule="auto"/>
              <w:jc w:val="center"/>
              <w:rPr>
                <w:rFonts w:ascii="Arial" w:hAnsi="Arial" w:cs="Arial"/>
                <w:color w:val="000000"/>
                <w:sz w:val="20"/>
                <w:szCs w:val="20"/>
              </w:rPr>
            </w:pPr>
            <w:r w:rsidRPr="001A3975">
              <w:rPr>
                <w:rFonts w:ascii="Arial" w:hAnsi="Arial" w:cs="Arial"/>
                <w:color w:val="000000"/>
                <w:sz w:val="20"/>
                <w:szCs w:val="20"/>
              </w:rPr>
              <w:t>3,8</w:t>
            </w:r>
          </w:p>
        </w:tc>
      </w:tr>
      <w:tr w:rsidR="00CD0AB2" w:rsidRPr="001A3975" w:rsidTr="00916EA3">
        <w:trPr>
          <w:trHeight w:val="300"/>
          <w:jc w:val="center"/>
        </w:trPr>
        <w:tc>
          <w:tcPr>
            <w:tcW w:w="3340" w:type="dxa"/>
            <w:tcBorders>
              <w:top w:val="nil"/>
              <w:left w:val="single" w:sz="4" w:space="0" w:color="auto"/>
              <w:bottom w:val="single" w:sz="4" w:space="0" w:color="auto"/>
              <w:right w:val="nil"/>
            </w:tcBorders>
            <w:shd w:val="clear" w:color="auto" w:fill="auto"/>
            <w:vAlign w:val="center"/>
            <w:hideMark/>
          </w:tcPr>
          <w:p w:rsidR="00CD0AB2" w:rsidRPr="001A3975" w:rsidRDefault="00CD0AB2" w:rsidP="0009477A">
            <w:pPr>
              <w:spacing w:line="240" w:lineRule="auto"/>
              <w:rPr>
                <w:rFonts w:ascii="Arial" w:hAnsi="Arial" w:cs="Arial"/>
                <w:color w:val="000000"/>
                <w:sz w:val="20"/>
                <w:szCs w:val="20"/>
              </w:rPr>
            </w:pPr>
            <w:r w:rsidRPr="001A3975">
              <w:rPr>
                <w:rFonts w:ascii="Arial" w:hAnsi="Arial" w:cs="Arial"/>
                <w:color w:val="000000"/>
                <w:sz w:val="20"/>
                <w:szCs w:val="20"/>
              </w:rPr>
              <w:t>1 000 salariés ou plus</w:t>
            </w:r>
          </w:p>
        </w:tc>
        <w:tc>
          <w:tcPr>
            <w:tcW w:w="1002" w:type="dxa"/>
            <w:tcBorders>
              <w:top w:val="nil"/>
              <w:left w:val="single" w:sz="4" w:space="0" w:color="auto"/>
              <w:bottom w:val="single" w:sz="4" w:space="0" w:color="auto"/>
              <w:right w:val="single" w:sz="4" w:space="0" w:color="auto"/>
            </w:tcBorders>
            <w:shd w:val="clear" w:color="auto" w:fill="auto"/>
            <w:vAlign w:val="center"/>
            <w:hideMark/>
          </w:tcPr>
          <w:p w:rsidR="00CD0AB2" w:rsidRPr="001A3975" w:rsidRDefault="00CD0AB2" w:rsidP="0009477A">
            <w:pPr>
              <w:spacing w:line="240" w:lineRule="auto"/>
              <w:jc w:val="center"/>
              <w:rPr>
                <w:rFonts w:ascii="Arial" w:hAnsi="Arial" w:cs="Arial"/>
                <w:color w:val="000000"/>
                <w:sz w:val="20"/>
                <w:szCs w:val="20"/>
              </w:rPr>
            </w:pPr>
            <w:r w:rsidRPr="001A3975">
              <w:rPr>
                <w:rFonts w:ascii="Arial" w:hAnsi="Arial" w:cs="Arial"/>
                <w:color w:val="000000"/>
                <w:sz w:val="20"/>
                <w:szCs w:val="20"/>
              </w:rPr>
              <w:t>3,5</w:t>
            </w:r>
          </w:p>
        </w:tc>
      </w:tr>
      <w:tr w:rsidR="00CD0AB2" w:rsidRPr="001A3975" w:rsidTr="00916EA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auto" w:fill="auto"/>
            <w:vAlign w:val="center"/>
          </w:tcPr>
          <w:p w:rsidR="00CD0AB2" w:rsidRPr="001A3975" w:rsidRDefault="00CD0AB2" w:rsidP="0009477A">
            <w:pPr>
              <w:spacing w:line="240" w:lineRule="auto"/>
              <w:rPr>
                <w:rFonts w:ascii="Arial" w:hAnsi="Arial" w:cs="Arial"/>
                <w:b/>
                <w:color w:val="000000"/>
                <w:sz w:val="20"/>
                <w:szCs w:val="20"/>
              </w:rPr>
            </w:pPr>
            <w:r w:rsidRPr="001A3975">
              <w:rPr>
                <w:rFonts w:ascii="Arial" w:hAnsi="Arial" w:cs="Arial"/>
                <w:b/>
                <w:color w:val="000000"/>
                <w:sz w:val="20"/>
                <w:szCs w:val="20"/>
              </w:rPr>
              <w:t>Entreprises d’au moins 50 salariés</w:t>
            </w:r>
          </w:p>
        </w:tc>
        <w:tc>
          <w:tcPr>
            <w:tcW w:w="1002" w:type="dxa"/>
            <w:tcBorders>
              <w:top w:val="single" w:sz="4" w:space="0" w:color="auto"/>
              <w:left w:val="nil"/>
              <w:bottom w:val="single" w:sz="4" w:space="0" w:color="auto"/>
              <w:right w:val="single" w:sz="4" w:space="0" w:color="auto"/>
            </w:tcBorders>
            <w:shd w:val="clear" w:color="auto" w:fill="auto"/>
            <w:vAlign w:val="center"/>
          </w:tcPr>
          <w:p w:rsidR="00CD0AB2" w:rsidRPr="001A3975" w:rsidRDefault="00CD0AB2" w:rsidP="0009477A">
            <w:pPr>
              <w:spacing w:line="240" w:lineRule="auto"/>
              <w:jc w:val="center"/>
              <w:rPr>
                <w:rFonts w:ascii="Arial" w:hAnsi="Arial" w:cs="Arial"/>
                <w:b/>
                <w:color w:val="000000"/>
                <w:sz w:val="20"/>
                <w:szCs w:val="20"/>
              </w:rPr>
            </w:pPr>
            <w:r w:rsidRPr="001A3975">
              <w:rPr>
                <w:rFonts w:ascii="Arial" w:hAnsi="Arial" w:cs="Arial"/>
                <w:b/>
                <w:color w:val="000000"/>
                <w:sz w:val="20"/>
                <w:szCs w:val="20"/>
              </w:rPr>
              <w:t>3,8</w:t>
            </w:r>
          </w:p>
        </w:tc>
      </w:tr>
      <w:tr w:rsidR="00CD0AB2" w:rsidRPr="001A3975" w:rsidTr="00916EA3">
        <w:trPr>
          <w:trHeight w:val="30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CD0AB2" w:rsidRPr="001A3975" w:rsidRDefault="00CD0AB2" w:rsidP="0009477A">
            <w:pPr>
              <w:spacing w:line="240" w:lineRule="auto"/>
              <w:rPr>
                <w:rFonts w:ascii="Arial" w:hAnsi="Arial" w:cs="Arial"/>
                <w:b/>
                <w:color w:val="000000"/>
                <w:sz w:val="20"/>
                <w:szCs w:val="20"/>
              </w:rPr>
            </w:pPr>
            <w:r w:rsidRPr="001A3975">
              <w:rPr>
                <w:rFonts w:ascii="Arial" w:hAnsi="Arial" w:cs="Arial"/>
                <w:b/>
                <w:color w:val="000000"/>
                <w:sz w:val="20"/>
                <w:szCs w:val="20"/>
              </w:rPr>
              <w:t>Ensemble des entreprises</w:t>
            </w:r>
          </w:p>
        </w:tc>
        <w:tc>
          <w:tcPr>
            <w:tcW w:w="1002" w:type="dxa"/>
            <w:tcBorders>
              <w:top w:val="nil"/>
              <w:left w:val="nil"/>
              <w:bottom w:val="single" w:sz="4" w:space="0" w:color="auto"/>
              <w:right w:val="single" w:sz="4" w:space="0" w:color="auto"/>
            </w:tcBorders>
            <w:shd w:val="clear" w:color="auto" w:fill="auto"/>
            <w:vAlign w:val="center"/>
            <w:hideMark/>
          </w:tcPr>
          <w:p w:rsidR="00CD0AB2" w:rsidRPr="001A3975" w:rsidRDefault="00CD0AB2" w:rsidP="0009477A">
            <w:pPr>
              <w:spacing w:line="240" w:lineRule="auto"/>
              <w:jc w:val="center"/>
              <w:rPr>
                <w:rFonts w:ascii="Arial" w:hAnsi="Arial" w:cs="Arial"/>
                <w:b/>
                <w:color w:val="000000"/>
                <w:sz w:val="20"/>
                <w:szCs w:val="20"/>
              </w:rPr>
            </w:pPr>
            <w:r w:rsidRPr="001A3975">
              <w:rPr>
                <w:rFonts w:ascii="Arial" w:hAnsi="Arial" w:cs="Arial"/>
                <w:b/>
                <w:color w:val="000000"/>
                <w:sz w:val="20"/>
                <w:szCs w:val="20"/>
              </w:rPr>
              <w:t>3,8</w:t>
            </w:r>
          </w:p>
        </w:tc>
      </w:tr>
    </w:tbl>
    <w:p w:rsidR="00CD0AB2" w:rsidRPr="001A3975" w:rsidRDefault="00CD0AB2" w:rsidP="009014A4">
      <w:pPr>
        <w:autoSpaceDE w:val="0"/>
        <w:autoSpaceDN w:val="0"/>
        <w:adjustRightInd w:val="0"/>
        <w:spacing w:after="0" w:line="240" w:lineRule="auto"/>
        <w:ind w:left="2410"/>
        <w:rPr>
          <w:rFonts w:ascii="Arial" w:hAnsi="Arial" w:cs="Arial"/>
          <w:bCs/>
          <w:i/>
          <w:sz w:val="16"/>
          <w:szCs w:val="16"/>
        </w:rPr>
      </w:pPr>
      <w:r w:rsidRPr="001A3975">
        <w:rPr>
          <w:rFonts w:ascii="Arial" w:hAnsi="Arial" w:cs="Arial"/>
          <w:bCs/>
          <w:i/>
          <w:sz w:val="16"/>
          <w:szCs w:val="16"/>
        </w:rPr>
        <w:t>Note de lecture : le poids de la participation correspond ici au rapport entre la participation totale versée en 2016 et la masse salariale totale brute versée en 2015</w:t>
      </w:r>
    </w:p>
    <w:p w:rsidR="00CD0AB2" w:rsidRPr="001A3975" w:rsidRDefault="00CD0AB2" w:rsidP="009014A4">
      <w:pPr>
        <w:autoSpaceDE w:val="0"/>
        <w:autoSpaceDN w:val="0"/>
        <w:adjustRightInd w:val="0"/>
        <w:spacing w:after="0" w:line="240" w:lineRule="auto"/>
        <w:ind w:left="2410"/>
        <w:rPr>
          <w:rFonts w:ascii="Arial" w:hAnsi="Arial" w:cs="Arial"/>
          <w:bCs/>
          <w:i/>
          <w:sz w:val="16"/>
          <w:szCs w:val="16"/>
        </w:rPr>
      </w:pPr>
      <w:r w:rsidRPr="001A3975">
        <w:rPr>
          <w:rFonts w:ascii="Arial" w:hAnsi="Arial" w:cs="Arial"/>
          <w:bCs/>
          <w:i/>
          <w:sz w:val="16"/>
          <w:szCs w:val="16"/>
        </w:rPr>
        <w:t>Champ : entreprises de 10 salariés ou plus qui ont distribué une prime de participation</w:t>
      </w:r>
    </w:p>
    <w:p w:rsidR="00CD0AB2" w:rsidRPr="001A3975" w:rsidRDefault="00CD0AB2" w:rsidP="009014A4">
      <w:pPr>
        <w:autoSpaceDE w:val="0"/>
        <w:autoSpaceDN w:val="0"/>
        <w:adjustRightInd w:val="0"/>
        <w:spacing w:after="0" w:line="240" w:lineRule="auto"/>
        <w:ind w:left="2410"/>
        <w:rPr>
          <w:rFonts w:ascii="Arial" w:hAnsi="Arial" w:cs="Arial"/>
          <w:b/>
          <w:bCs/>
          <w:sz w:val="16"/>
          <w:szCs w:val="16"/>
        </w:rPr>
      </w:pPr>
      <w:r w:rsidRPr="001A3975">
        <w:rPr>
          <w:rFonts w:ascii="Arial" w:hAnsi="Arial" w:cs="Arial"/>
          <w:bCs/>
          <w:i/>
          <w:sz w:val="16"/>
          <w:szCs w:val="16"/>
        </w:rPr>
        <w:t>Source : DARES, enquêtes Acemo-PIPA 2016</w:t>
      </w:r>
    </w:p>
    <w:p w:rsidR="0009477A" w:rsidRDefault="0009477A" w:rsidP="00F85D64">
      <w:pPr>
        <w:jc w:val="both"/>
        <w:rPr>
          <w:b/>
          <w:i/>
        </w:rPr>
      </w:pPr>
    </w:p>
    <w:p w:rsidR="00DE5825" w:rsidRPr="00571A4C" w:rsidRDefault="00DE5825" w:rsidP="00F85D64">
      <w:pPr>
        <w:jc w:val="both"/>
        <w:rPr>
          <w:rFonts w:ascii="Arial" w:hAnsi="Arial" w:cs="Arial"/>
          <w:i/>
          <w:sz w:val="20"/>
          <w:szCs w:val="20"/>
        </w:rPr>
      </w:pPr>
      <w:r w:rsidRPr="00571A4C">
        <w:rPr>
          <w:b/>
          <w:i/>
        </w:rPr>
        <w:t>Au regard du résultat comptable</w:t>
      </w:r>
      <w:r w:rsidR="00CD0AB2">
        <w:rPr>
          <w:b/>
          <w:i/>
        </w:rPr>
        <w:t xml:space="preserve"> (voir Annexe </w:t>
      </w:r>
      <w:r w:rsidR="00162970">
        <w:rPr>
          <w:b/>
          <w:i/>
        </w:rPr>
        <w:t>2</w:t>
      </w:r>
      <w:r w:rsidR="00CD0AB2">
        <w:rPr>
          <w:b/>
          <w:i/>
        </w:rPr>
        <w:t xml:space="preserve"> pour en savoir plus)</w:t>
      </w:r>
      <w:r w:rsidRPr="00571A4C">
        <w:rPr>
          <w:b/>
          <w:i/>
        </w:rPr>
        <w:t xml:space="preserve"> : </w:t>
      </w:r>
    </w:p>
    <w:p w:rsidR="00CD0AB2" w:rsidRPr="00B7240C" w:rsidRDefault="00CD0AB2" w:rsidP="00CD0AB2">
      <w:pPr>
        <w:autoSpaceDE w:val="0"/>
        <w:jc w:val="both"/>
        <w:rPr>
          <w:rFonts w:ascii="Arial" w:hAnsi="Arial" w:cs="Arial"/>
          <w:b/>
          <w:bCs/>
          <w:sz w:val="20"/>
          <w:szCs w:val="20"/>
          <w:u w:val="single"/>
        </w:rPr>
      </w:pPr>
      <w:r>
        <w:rPr>
          <w:rFonts w:ascii="Arial" w:hAnsi="Arial" w:cs="Arial"/>
          <w:b/>
          <w:bCs/>
          <w:sz w:val="20"/>
          <w:szCs w:val="20"/>
          <w:u w:val="single"/>
        </w:rPr>
        <w:t>Avec la formule 10%*BC, les entreprises versent plus souvent de la participation qu’actuellement</w:t>
      </w:r>
    </w:p>
    <w:p w:rsidR="00CD0AB2" w:rsidRPr="00B7240C" w:rsidRDefault="00CD0AB2" w:rsidP="00CD0AB2">
      <w:pPr>
        <w:autoSpaceDE w:val="0"/>
        <w:jc w:val="both"/>
        <w:rPr>
          <w:rFonts w:ascii="Arial" w:hAnsi="Arial" w:cs="Arial"/>
          <w:bCs/>
          <w:sz w:val="20"/>
          <w:szCs w:val="20"/>
        </w:rPr>
      </w:pPr>
      <w:r>
        <w:rPr>
          <w:rFonts w:ascii="Arial" w:hAnsi="Arial" w:cs="Arial"/>
          <w:bCs/>
          <w:sz w:val="20"/>
          <w:szCs w:val="20"/>
        </w:rPr>
        <w:t>L</w:t>
      </w:r>
      <w:r w:rsidRPr="00B7240C">
        <w:rPr>
          <w:rFonts w:ascii="Arial" w:hAnsi="Arial" w:cs="Arial"/>
          <w:bCs/>
          <w:sz w:val="20"/>
          <w:szCs w:val="20"/>
        </w:rPr>
        <w:t>a part d’entreprises qui versent de la participation augmente avec l</w:t>
      </w:r>
      <w:r>
        <w:rPr>
          <w:rFonts w:ascii="Arial" w:hAnsi="Arial" w:cs="Arial"/>
          <w:bCs/>
          <w:sz w:val="20"/>
          <w:szCs w:val="20"/>
        </w:rPr>
        <w:t xml:space="preserve">a </w:t>
      </w:r>
      <w:r w:rsidRPr="00B7240C">
        <w:rPr>
          <w:rFonts w:ascii="Arial" w:hAnsi="Arial" w:cs="Arial"/>
          <w:bCs/>
          <w:sz w:val="20"/>
          <w:szCs w:val="20"/>
        </w:rPr>
        <w:t>formule</w:t>
      </w:r>
      <w:r>
        <w:rPr>
          <w:rFonts w:ascii="Arial" w:hAnsi="Arial" w:cs="Arial"/>
          <w:bCs/>
          <w:sz w:val="20"/>
          <w:szCs w:val="20"/>
        </w:rPr>
        <w:t xml:space="preserve"> 10%*BC. </w:t>
      </w:r>
      <w:r w:rsidRPr="00B7240C">
        <w:rPr>
          <w:rFonts w:ascii="Arial" w:hAnsi="Arial" w:cs="Arial"/>
          <w:bCs/>
          <w:sz w:val="20"/>
          <w:szCs w:val="20"/>
        </w:rPr>
        <w:t>Selon les liasses fiscales, 37 % des entreprises de 50 salariés ou plus ont versé de la participation en 2015</w:t>
      </w:r>
      <w:r>
        <w:rPr>
          <w:rFonts w:ascii="Arial" w:hAnsi="Arial" w:cs="Arial"/>
          <w:bCs/>
          <w:sz w:val="20"/>
          <w:szCs w:val="20"/>
        </w:rPr>
        <w:t xml:space="preserve"> (graphique 1)</w:t>
      </w:r>
      <w:r w:rsidRPr="00B7240C">
        <w:rPr>
          <w:rFonts w:ascii="Arial" w:hAnsi="Arial" w:cs="Arial"/>
          <w:bCs/>
          <w:sz w:val="20"/>
          <w:szCs w:val="20"/>
        </w:rPr>
        <w:t xml:space="preserve">. Cette proportion est </w:t>
      </w:r>
      <w:r>
        <w:rPr>
          <w:rFonts w:ascii="Arial" w:hAnsi="Arial" w:cs="Arial"/>
          <w:bCs/>
          <w:sz w:val="20"/>
          <w:szCs w:val="20"/>
        </w:rPr>
        <w:t>de 67</w:t>
      </w:r>
      <w:r w:rsidRPr="00B7240C">
        <w:rPr>
          <w:rFonts w:ascii="Arial" w:hAnsi="Arial" w:cs="Arial"/>
          <w:bCs/>
          <w:sz w:val="20"/>
          <w:szCs w:val="20"/>
        </w:rPr>
        <w:t xml:space="preserve"> % dans </w:t>
      </w:r>
      <w:r>
        <w:rPr>
          <w:rFonts w:ascii="Arial" w:hAnsi="Arial" w:cs="Arial"/>
          <w:bCs/>
          <w:sz w:val="20"/>
          <w:szCs w:val="20"/>
        </w:rPr>
        <w:t xml:space="preserve">le cas de </w:t>
      </w:r>
      <w:r w:rsidRPr="00B7240C">
        <w:rPr>
          <w:rFonts w:ascii="Arial" w:hAnsi="Arial" w:cs="Arial"/>
          <w:bCs/>
          <w:sz w:val="20"/>
          <w:szCs w:val="20"/>
        </w:rPr>
        <w:t>l</w:t>
      </w:r>
      <w:r>
        <w:rPr>
          <w:rFonts w:ascii="Arial" w:hAnsi="Arial" w:cs="Arial"/>
          <w:bCs/>
          <w:sz w:val="20"/>
          <w:szCs w:val="20"/>
        </w:rPr>
        <w:t>a simulation 10%*BC</w:t>
      </w:r>
      <w:r w:rsidRPr="00B7240C">
        <w:rPr>
          <w:rFonts w:ascii="Arial" w:hAnsi="Arial" w:cs="Arial"/>
          <w:bCs/>
          <w:sz w:val="20"/>
          <w:szCs w:val="20"/>
        </w:rPr>
        <w:t>.</w:t>
      </w:r>
      <w:r>
        <w:rPr>
          <w:rFonts w:ascii="Arial" w:hAnsi="Arial" w:cs="Arial"/>
          <w:bCs/>
          <w:sz w:val="20"/>
          <w:szCs w:val="20"/>
        </w:rPr>
        <w:t xml:space="preserve"> 32</w:t>
      </w:r>
      <w:r w:rsidRPr="00B7240C">
        <w:rPr>
          <w:rFonts w:ascii="Arial" w:hAnsi="Arial" w:cs="Arial"/>
          <w:bCs/>
          <w:sz w:val="20"/>
          <w:szCs w:val="20"/>
        </w:rPr>
        <w:t xml:space="preserve"> % des entreprises</w:t>
      </w:r>
      <w:r>
        <w:rPr>
          <w:rFonts w:ascii="Arial" w:hAnsi="Arial" w:cs="Arial"/>
          <w:bCs/>
          <w:sz w:val="20"/>
          <w:szCs w:val="20"/>
        </w:rPr>
        <w:t xml:space="preserve"> du champ étudié</w:t>
      </w:r>
      <w:r w:rsidRPr="00B7240C">
        <w:rPr>
          <w:rFonts w:ascii="Arial" w:hAnsi="Arial" w:cs="Arial"/>
          <w:bCs/>
          <w:sz w:val="20"/>
          <w:szCs w:val="20"/>
        </w:rPr>
        <w:t xml:space="preserve"> se mettent à verser de la participation alors qu’elles n’en versen</w:t>
      </w:r>
      <w:r>
        <w:rPr>
          <w:rFonts w:ascii="Arial" w:hAnsi="Arial" w:cs="Arial"/>
          <w:bCs/>
          <w:sz w:val="20"/>
          <w:szCs w:val="20"/>
        </w:rPr>
        <w:t>t pas selon les liasses fiscales.</w:t>
      </w:r>
    </w:p>
    <w:p w:rsidR="00CD0AB2" w:rsidRPr="00B7240C" w:rsidRDefault="00CD0AB2" w:rsidP="00CD0AB2">
      <w:pPr>
        <w:autoSpaceDE w:val="0"/>
        <w:jc w:val="center"/>
      </w:pPr>
      <w:r w:rsidRPr="00B7240C">
        <w:rPr>
          <w:rFonts w:ascii="Arial" w:hAnsi="Arial" w:cs="Arial"/>
          <w:b/>
          <w:bCs/>
          <w:sz w:val="20"/>
          <w:szCs w:val="20"/>
        </w:rPr>
        <w:t>P</w:t>
      </w:r>
      <w:r>
        <w:rPr>
          <w:rFonts w:ascii="Arial" w:hAnsi="Arial" w:cs="Arial"/>
          <w:b/>
          <w:bCs/>
          <w:sz w:val="20"/>
          <w:szCs w:val="20"/>
        </w:rPr>
        <w:t>roportion</w:t>
      </w:r>
      <w:r w:rsidRPr="00B7240C">
        <w:rPr>
          <w:rFonts w:ascii="Arial" w:hAnsi="Arial" w:cs="Arial"/>
          <w:b/>
          <w:bCs/>
          <w:sz w:val="20"/>
          <w:szCs w:val="20"/>
        </w:rPr>
        <w:t xml:space="preserve"> d’entreprises </w:t>
      </w:r>
      <w:r>
        <w:rPr>
          <w:rFonts w:ascii="Arial" w:hAnsi="Arial" w:cs="Arial"/>
          <w:b/>
          <w:bCs/>
          <w:sz w:val="20"/>
          <w:szCs w:val="20"/>
        </w:rPr>
        <w:t>qui versent de la participation</w:t>
      </w:r>
    </w:p>
    <w:p w:rsidR="00CD0AB2" w:rsidRPr="00B7240C" w:rsidRDefault="00CD0AB2" w:rsidP="00CD0AB2">
      <w:pPr>
        <w:autoSpaceDE w:val="0"/>
        <w:jc w:val="center"/>
        <w:rPr>
          <w:rFonts w:ascii="Arial" w:hAnsi="Arial" w:cs="Arial"/>
          <w:bCs/>
          <w:i/>
          <w:sz w:val="18"/>
          <w:szCs w:val="18"/>
        </w:rPr>
      </w:pPr>
      <w:r>
        <w:rPr>
          <w:noProof/>
          <w:lang w:eastAsia="fr-FR"/>
        </w:rPr>
        <w:drawing>
          <wp:inline distT="0" distB="0" distL="0" distR="0" wp14:anchorId="16195135" wp14:editId="644D1600">
            <wp:extent cx="4294505" cy="2406650"/>
            <wp:effectExtent l="0" t="0" r="0" b="0"/>
            <wp:docPr id="6"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D0AB2" w:rsidRPr="00B7240C" w:rsidRDefault="00CD0AB2" w:rsidP="00D30CDA">
      <w:pPr>
        <w:autoSpaceDE w:val="0"/>
        <w:spacing w:after="0" w:line="240" w:lineRule="auto"/>
        <w:rPr>
          <w:rFonts w:ascii="Arial" w:hAnsi="Arial" w:cs="Arial"/>
          <w:bCs/>
          <w:i/>
          <w:sz w:val="18"/>
          <w:szCs w:val="18"/>
        </w:rPr>
      </w:pPr>
      <w:r w:rsidRPr="00362372">
        <w:rPr>
          <w:rFonts w:ascii="Arial" w:hAnsi="Arial" w:cs="Arial"/>
          <w:bCs/>
          <w:i/>
          <w:sz w:val="18"/>
          <w:szCs w:val="18"/>
          <w:u w:val="single"/>
        </w:rPr>
        <w:lastRenderedPageBreak/>
        <w:t>Champ :</w:t>
      </w:r>
      <w:r w:rsidRPr="00B7240C">
        <w:rPr>
          <w:rFonts w:ascii="Arial" w:hAnsi="Arial" w:cs="Arial"/>
          <w:bCs/>
          <w:i/>
          <w:sz w:val="18"/>
          <w:szCs w:val="18"/>
        </w:rPr>
        <w:t xml:space="preserve"> entreprises privées de 50 salariés ou plus, hors secteurs agricole et financier.</w:t>
      </w:r>
    </w:p>
    <w:p w:rsidR="00CD0AB2" w:rsidRPr="00B7240C" w:rsidRDefault="00CD0AB2" w:rsidP="00D30CDA">
      <w:pPr>
        <w:autoSpaceDE w:val="0"/>
        <w:spacing w:after="0" w:line="240" w:lineRule="auto"/>
        <w:rPr>
          <w:rFonts w:ascii="Arial" w:hAnsi="Arial" w:cs="Arial"/>
          <w:b/>
          <w:bCs/>
          <w:sz w:val="20"/>
          <w:szCs w:val="20"/>
          <w:lang w:eastAsia="fr-FR"/>
        </w:rPr>
      </w:pPr>
      <w:r w:rsidRPr="00362372">
        <w:rPr>
          <w:rFonts w:ascii="Arial" w:hAnsi="Arial" w:cs="Arial"/>
          <w:bCs/>
          <w:i/>
          <w:sz w:val="18"/>
          <w:szCs w:val="18"/>
          <w:u w:val="single"/>
        </w:rPr>
        <w:t>Source :</w:t>
      </w:r>
      <w:r w:rsidRPr="00B7240C">
        <w:rPr>
          <w:rFonts w:ascii="Arial" w:hAnsi="Arial" w:cs="Arial"/>
          <w:bCs/>
          <w:i/>
          <w:sz w:val="18"/>
          <w:szCs w:val="18"/>
        </w:rPr>
        <w:t xml:space="preserve"> Insee - fichier Fare 2015, calculs Dares.</w:t>
      </w:r>
    </w:p>
    <w:p w:rsidR="00D30CDA" w:rsidRDefault="00D30CDA" w:rsidP="00CD0AB2">
      <w:pPr>
        <w:autoSpaceDE w:val="0"/>
        <w:jc w:val="both"/>
        <w:rPr>
          <w:rFonts w:ascii="Arial" w:hAnsi="Arial" w:cs="Arial"/>
          <w:bCs/>
          <w:sz w:val="20"/>
          <w:szCs w:val="20"/>
        </w:rPr>
      </w:pPr>
    </w:p>
    <w:p w:rsidR="00CD0AB2" w:rsidRDefault="00CD0AB2" w:rsidP="00CD0AB2">
      <w:pPr>
        <w:autoSpaceDE w:val="0"/>
        <w:jc w:val="both"/>
        <w:rPr>
          <w:rFonts w:ascii="Arial" w:hAnsi="Arial" w:cs="Arial"/>
          <w:bCs/>
          <w:sz w:val="20"/>
          <w:szCs w:val="20"/>
        </w:rPr>
      </w:pPr>
      <w:r>
        <w:rPr>
          <w:rFonts w:ascii="Arial" w:hAnsi="Arial" w:cs="Arial"/>
          <w:bCs/>
          <w:sz w:val="20"/>
          <w:szCs w:val="20"/>
        </w:rPr>
        <w:t>En conséquence, la formule</w:t>
      </w:r>
      <w:r w:rsidRPr="00B7240C">
        <w:rPr>
          <w:rFonts w:ascii="Arial" w:hAnsi="Arial" w:cs="Arial"/>
          <w:bCs/>
          <w:sz w:val="20"/>
          <w:szCs w:val="20"/>
        </w:rPr>
        <w:t xml:space="preserve"> </w:t>
      </w:r>
      <w:r>
        <w:rPr>
          <w:rFonts w:ascii="Arial" w:hAnsi="Arial" w:cs="Arial"/>
          <w:bCs/>
          <w:sz w:val="20"/>
          <w:szCs w:val="20"/>
        </w:rPr>
        <w:t xml:space="preserve">10%*BC entraîne </w:t>
      </w:r>
      <w:r w:rsidRPr="00B7240C">
        <w:rPr>
          <w:rFonts w:ascii="Arial" w:hAnsi="Arial" w:cs="Arial"/>
          <w:bCs/>
          <w:sz w:val="20"/>
          <w:szCs w:val="20"/>
        </w:rPr>
        <w:t>un</w:t>
      </w:r>
      <w:r>
        <w:rPr>
          <w:rFonts w:ascii="Arial" w:hAnsi="Arial" w:cs="Arial"/>
          <w:bCs/>
          <w:sz w:val="20"/>
          <w:szCs w:val="20"/>
        </w:rPr>
        <w:t xml:space="preserve"> surcroît</w:t>
      </w:r>
      <w:r w:rsidRPr="00B7240C">
        <w:rPr>
          <w:rFonts w:ascii="Arial" w:hAnsi="Arial" w:cs="Arial"/>
          <w:bCs/>
          <w:sz w:val="20"/>
          <w:szCs w:val="20"/>
        </w:rPr>
        <w:t xml:space="preserve"> du montant total de la participation </w:t>
      </w:r>
      <w:r>
        <w:rPr>
          <w:rFonts w:ascii="Arial" w:hAnsi="Arial" w:cs="Arial"/>
          <w:bCs/>
          <w:sz w:val="20"/>
          <w:szCs w:val="20"/>
        </w:rPr>
        <w:t>issu des liasses fiscales de 1,3 Md€ dans</w:t>
      </w:r>
      <w:r w:rsidRPr="00B7240C">
        <w:rPr>
          <w:rFonts w:ascii="Arial" w:hAnsi="Arial" w:cs="Arial"/>
          <w:bCs/>
          <w:sz w:val="20"/>
          <w:szCs w:val="20"/>
        </w:rPr>
        <w:t xml:space="preserve"> les entreprises de 50 salariés ou plus.</w:t>
      </w:r>
    </w:p>
    <w:p w:rsidR="00CD0AB2" w:rsidRDefault="00CD0AB2" w:rsidP="00CD0AB2">
      <w:pPr>
        <w:autoSpaceDE w:val="0"/>
        <w:jc w:val="both"/>
        <w:rPr>
          <w:rFonts w:ascii="Arial" w:hAnsi="Arial" w:cs="Arial"/>
          <w:bCs/>
          <w:sz w:val="20"/>
          <w:szCs w:val="20"/>
        </w:rPr>
      </w:pPr>
      <w:r>
        <w:rPr>
          <w:rFonts w:ascii="Arial" w:hAnsi="Arial" w:cs="Arial"/>
          <w:bCs/>
          <w:sz w:val="20"/>
          <w:szCs w:val="20"/>
        </w:rPr>
        <w:t>Néanmoins, le montant total de participation calculé à partir de la formule 10%*BC est moins élevé de 0,4 Md€ que le montant simulé à partir de la formule actuelle de réserve de participation. Ce résultat est dû au fait que le montant de participation simulé à partir de la formule actuelle est déjà 30 % supérieur au montant figurant dans les liasses. C’est notamment dû au cas atypique (mais non aberrant) des entreprises qui ont des salaires supérieurs à la valeur ajoutée. En effet, cela entraîne une hausse marquée du montant de participation dans les simulations.</w:t>
      </w:r>
    </w:p>
    <w:p w:rsidR="00CD0AB2" w:rsidRPr="00B7240C" w:rsidRDefault="00CD0AB2" w:rsidP="00CD0AB2">
      <w:pPr>
        <w:autoSpaceDE w:val="0"/>
        <w:jc w:val="center"/>
      </w:pPr>
      <w:r w:rsidRPr="00B7240C">
        <w:rPr>
          <w:rFonts w:ascii="Arial" w:hAnsi="Arial" w:cs="Arial"/>
          <w:b/>
          <w:bCs/>
          <w:sz w:val="20"/>
          <w:szCs w:val="20"/>
        </w:rPr>
        <w:t>Montan</w:t>
      </w:r>
      <w:r>
        <w:rPr>
          <w:rFonts w:ascii="Arial" w:hAnsi="Arial" w:cs="Arial"/>
          <w:b/>
          <w:bCs/>
          <w:sz w:val="20"/>
          <w:szCs w:val="20"/>
        </w:rPr>
        <w:t>t total de participation</w:t>
      </w:r>
    </w:p>
    <w:p w:rsidR="00CD0AB2" w:rsidRPr="00B7240C" w:rsidRDefault="00CD0AB2" w:rsidP="00CD0AB2">
      <w:pPr>
        <w:autoSpaceDE w:val="0"/>
        <w:jc w:val="center"/>
        <w:rPr>
          <w:rFonts w:ascii="Arial" w:hAnsi="Arial" w:cs="Arial"/>
          <w:bCs/>
          <w:i/>
          <w:sz w:val="18"/>
          <w:szCs w:val="18"/>
        </w:rPr>
      </w:pPr>
      <w:r>
        <w:rPr>
          <w:noProof/>
          <w:lang w:eastAsia="fr-FR"/>
        </w:rPr>
        <w:drawing>
          <wp:inline distT="0" distB="0" distL="0" distR="0" wp14:anchorId="7C51DD3B" wp14:editId="6BA11B77">
            <wp:extent cx="3923665" cy="1802765"/>
            <wp:effectExtent l="0" t="0" r="635" b="6985"/>
            <wp:docPr id="5"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D0AB2" w:rsidRPr="00B7240C" w:rsidRDefault="00CD0AB2" w:rsidP="009014A4">
      <w:pPr>
        <w:autoSpaceDE w:val="0"/>
        <w:spacing w:after="0" w:line="240" w:lineRule="auto"/>
        <w:rPr>
          <w:rFonts w:ascii="Arial" w:hAnsi="Arial" w:cs="Arial"/>
          <w:bCs/>
          <w:i/>
          <w:sz w:val="18"/>
          <w:szCs w:val="18"/>
        </w:rPr>
      </w:pPr>
      <w:r w:rsidRPr="00B7240C">
        <w:rPr>
          <w:rFonts w:ascii="Arial" w:hAnsi="Arial" w:cs="Arial"/>
          <w:bCs/>
          <w:i/>
          <w:sz w:val="18"/>
          <w:szCs w:val="18"/>
          <w:u w:val="single"/>
        </w:rPr>
        <w:t>Champ :</w:t>
      </w:r>
      <w:r w:rsidRPr="00B7240C">
        <w:rPr>
          <w:rFonts w:ascii="Arial" w:hAnsi="Arial" w:cs="Arial"/>
          <w:bCs/>
          <w:i/>
          <w:sz w:val="18"/>
          <w:szCs w:val="18"/>
        </w:rPr>
        <w:t xml:space="preserve"> entreprises privées de 50 salariés ou plus, hors secteurs agricole et financier.</w:t>
      </w:r>
    </w:p>
    <w:p w:rsidR="00CD0AB2" w:rsidRPr="00B7240C" w:rsidRDefault="00CD0AB2" w:rsidP="009014A4">
      <w:pPr>
        <w:autoSpaceDE w:val="0"/>
        <w:spacing w:after="0" w:line="240" w:lineRule="auto"/>
        <w:rPr>
          <w:rFonts w:ascii="Arial" w:hAnsi="Arial" w:cs="Arial"/>
          <w:b/>
          <w:bCs/>
          <w:sz w:val="20"/>
          <w:szCs w:val="20"/>
        </w:rPr>
      </w:pPr>
      <w:r w:rsidRPr="00B7240C">
        <w:rPr>
          <w:rFonts w:ascii="Arial" w:hAnsi="Arial" w:cs="Arial"/>
          <w:bCs/>
          <w:i/>
          <w:sz w:val="18"/>
          <w:szCs w:val="18"/>
          <w:u w:val="single"/>
        </w:rPr>
        <w:t>Source :</w:t>
      </w:r>
      <w:r w:rsidRPr="00B7240C">
        <w:rPr>
          <w:rFonts w:ascii="Arial" w:hAnsi="Arial" w:cs="Arial"/>
          <w:bCs/>
          <w:i/>
          <w:sz w:val="18"/>
          <w:szCs w:val="18"/>
        </w:rPr>
        <w:t xml:space="preserve"> Insee - fichier Fare 2015, calculs Dares.</w:t>
      </w:r>
    </w:p>
    <w:p w:rsidR="00DE5825" w:rsidRPr="00571A4C" w:rsidRDefault="00DE5825" w:rsidP="00F85D64">
      <w:pPr>
        <w:jc w:val="both"/>
        <w:rPr>
          <w:i/>
        </w:rPr>
      </w:pPr>
    </w:p>
    <w:p w:rsidR="00DE5825" w:rsidRDefault="00DE5825" w:rsidP="00F85D64">
      <w:pPr>
        <w:jc w:val="both"/>
        <w:rPr>
          <w:i/>
        </w:rPr>
      </w:pPr>
      <w:r w:rsidRPr="00571A4C">
        <w:rPr>
          <w:b/>
          <w:i/>
        </w:rPr>
        <w:t>Recours à une formule de calcul dérogatoire :</w:t>
      </w:r>
      <w:r w:rsidRPr="00571A4C">
        <w:rPr>
          <w:i/>
        </w:rPr>
        <w:t xml:space="preserve"> </w:t>
      </w:r>
    </w:p>
    <w:p w:rsidR="00CD0AB2" w:rsidRPr="00753AC2" w:rsidRDefault="00CD0AB2" w:rsidP="00CD0AB2">
      <w:pPr>
        <w:autoSpaceDE w:val="0"/>
        <w:autoSpaceDN w:val="0"/>
        <w:adjustRightInd w:val="0"/>
        <w:jc w:val="both"/>
        <w:rPr>
          <w:rFonts w:ascii="Arial" w:hAnsi="Arial" w:cs="Arial"/>
          <w:sz w:val="20"/>
          <w:szCs w:val="20"/>
        </w:rPr>
      </w:pPr>
      <w:r w:rsidRPr="00753AC2">
        <w:rPr>
          <w:rFonts w:ascii="Arial" w:hAnsi="Arial" w:cs="Arial"/>
          <w:sz w:val="20"/>
          <w:szCs w:val="20"/>
        </w:rPr>
        <w:t>Les entreprises de 10 à 49 salariés, pour lesquelles la participation est un dispositif facultatif, recourent plus fréquemment que les plus grandes entreprises à une autre formule de calcul que celle de référence : 13,2 % en 2016 contre 8,0 % pour les entreprises de 50 salariés ou plus (tableau 1).</w:t>
      </w:r>
    </w:p>
    <w:p w:rsidR="00CD0AB2" w:rsidRPr="00753AC2" w:rsidRDefault="00CD0AB2" w:rsidP="00CD0AB2">
      <w:pPr>
        <w:autoSpaceDE w:val="0"/>
        <w:autoSpaceDN w:val="0"/>
        <w:adjustRightInd w:val="0"/>
        <w:jc w:val="both"/>
        <w:rPr>
          <w:rFonts w:ascii="Arial" w:hAnsi="Arial" w:cs="Arial"/>
          <w:sz w:val="20"/>
          <w:szCs w:val="20"/>
        </w:rPr>
      </w:pPr>
    </w:p>
    <w:p w:rsidR="00CD0AB2" w:rsidRPr="00753AC2" w:rsidRDefault="00CD0AB2" w:rsidP="00CD0AB2">
      <w:pPr>
        <w:autoSpaceDE w:val="0"/>
        <w:autoSpaceDN w:val="0"/>
        <w:adjustRightInd w:val="0"/>
        <w:jc w:val="both"/>
        <w:rPr>
          <w:rFonts w:ascii="Arial" w:hAnsi="Arial" w:cs="Arial"/>
          <w:sz w:val="20"/>
          <w:szCs w:val="20"/>
        </w:rPr>
      </w:pPr>
      <w:r w:rsidRPr="00753AC2">
        <w:rPr>
          <w:rFonts w:ascii="Arial" w:hAnsi="Arial" w:cs="Arial"/>
          <w:sz w:val="20"/>
          <w:szCs w:val="20"/>
        </w:rPr>
        <w:t>Parmi les entreprises de 50 salariés ou plus, le taux de recours à une formule dérogatoire augmente avec la taille de l’entreprise : de 5,5 % en 2016 pour les entreprises de 50 à 99 salariés à 25,4 % pour les entreprises d’au moins 1 000 salariés, sachant que le montant de participation versée par les entreprises d’au moins 1 000 salariés représente 19 % du montant total de participation versée en 2016 (1,2 Md€ parmi 6,4Md€).</w:t>
      </w:r>
    </w:p>
    <w:p w:rsidR="00CD0AB2" w:rsidRDefault="00CD0AB2" w:rsidP="00CD0AB2">
      <w:pPr>
        <w:autoSpaceDE w:val="0"/>
        <w:autoSpaceDN w:val="0"/>
        <w:adjustRightInd w:val="0"/>
        <w:jc w:val="both"/>
        <w:rPr>
          <w:rFonts w:ascii="Arial" w:hAnsi="Arial" w:cs="Arial"/>
          <w:bCs/>
          <w:sz w:val="20"/>
          <w:szCs w:val="20"/>
        </w:rPr>
      </w:pPr>
      <w:r w:rsidRPr="00753AC2">
        <w:rPr>
          <w:rFonts w:ascii="Arial" w:hAnsi="Arial" w:cs="Arial"/>
          <w:bCs/>
          <w:sz w:val="20"/>
          <w:szCs w:val="20"/>
        </w:rPr>
        <w:t>Les entreprises de 50 salariés ou plus ayant opté pour une formule dérogatoire ont versé en 2016, en moyenne, une prime de 300 euros plus élevée que celles ayant retenu la formule de référence (1 500 euros contre 1 200 euros).</w:t>
      </w:r>
    </w:p>
    <w:p w:rsidR="00F85D64" w:rsidRDefault="00F85D64" w:rsidP="00CD0AB2">
      <w:pPr>
        <w:autoSpaceDE w:val="0"/>
        <w:autoSpaceDN w:val="0"/>
        <w:adjustRightInd w:val="0"/>
        <w:jc w:val="both"/>
        <w:rPr>
          <w:rFonts w:ascii="Arial" w:hAnsi="Arial" w:cs="Arial"/>
          <w:bCs/>
          <w:sz w:val="20"/>
          <w:szCs w:val="20"/>
        </w:rPr>
      </w:pPr>
    </w:p>
    <w:p w:rsidR="00F85D64" w:rsidRDefault="00F85D64" w:rsidP="00CD0AB2">
      <w:pPr>
        <w:autoSpaceDE w:val="0"/>
        <w:autoSpaceDN w:val="0"/>
        <w:adjustRightInd w:val="0"/>
        <w:jc w:val="both"/>
        <w:rPr>
          <w:rFonts w:ascii="Arial" w:hAnsi="Arial" w:cs="Arial"/>
          <w:bCs/>
          <w:sz w:val="20"/>
          <w:szCs w:val="20"/>
        </w:rPr>
      </w:pPr>
    </w:p>
    <w:p w:rsidR="00F85D64" w:rsidRDefault="00F85D64" w:rsidP="00CD0AB2">
      <w:pPr>
        <w:autoSpaceDE w:val="0"/>
        <w:autoSpaceDN w:val="0"/>
        <w:adjustRightInd w:val="0"/>
        <w:jc w:val="both"/>
        <w:rPr>
          <w:rFonts w:ascii="Arial" w:hAnsi="Arial" w:cs="Arial"/>
          <w:bCs/>
          <w:sz w:val="20"/>
          <w:szCs w:val="20"/>
        </w:rPr>
      </w:pPr>
    </w:p>
    <w:p w:rsidR="00ED6E24" w:rsidRDefault="00ED6E24" w:rsidP="00CD0AB2">
      <w:pPr>
        <w:autoSpaceDE w:val="0"/>
        <w:autoSpaceDN w:val="0"/>
        <w:adjustRightInd w:val="0"/>
        <w:jc w:val="both"/>
        <w:rPr>
          <w:rFonts w:ascii="Arial" w:hAnsi="Arial" w:cs="Arial"/>
          <w:bCs/>
          <w:sz w:val="20"/>
          <w:szCs w:val="20"/>
        </w:rPr>
      </w:pPr>
    </w:p>
    <w:p w:rsidR="00F85D64" w:rsidRPr="00753AC2" w:rsidRDefault="00F85D64" w:rsidP="00CD0AB2">
      <w:pPr>
        <w:autoSpaceDE w:val="0"/>
        <w:autoSpaceDN w:val="0"/>
        <w:adjustRightInd w:val="0"/>
        <w:jc w:val="both"/>
        <w:rPr>
          <w:rFonts w:ascii="Arial" w:hAnsi="Arial" w:cs="Arial"/>
          <w:bCs/>
          <w:sz w:val="20"/>
          <w:szCs w:val="20"/>
        </w:rPr>
      </w:pPr>
    </w:p>
    <w:p w:rsidR="00CD0AB2" w:rsidRPr="00753AC2" w:rsidRDefault="00CD0AB2" w:rsidP="00CD0AB2">
      <w:pPr>
        <w:autoSpaceDE w:val="0"/>
        <w:autoSpaceDN w:val="0"/>
        <w:adjustRightInd w:val="0"/>
        <w:jc w:val="center"/>
        <w:rPr>
          <w:rFonts w:ascii="Arial" w:hAnsi="Arial" w:cs="Arial"/>
          <w:b/>
          <w:bCs/>
          <w:sz w:val="20"/>
          <w:szCs w:val="20"/>
        </w:rPr>
      </w:pPr>
      <w:r w:rsidRPr="00753AC2">
        <w:rPr>
          <w:rFonts w:ascii="Arial" w:hAnsi="Arial" w:cs="Arial"/>
          <w:b/>
          <w:bCs/>
          <w:sz w:val="20"/>
          <w:szCs w:val="20"/>
        </w:rPr>
        <w:t>Taux de recours à une formule dérogatoire</w:t>
      </w:r>
      <w:r>
        <w:rPr>
          <w:rFonts w:ascii="Arial" w:hAnsi="Arial" w:cs="Arial"/>
          <w:b/>
          <w:bCs/>
          <w:sz w:val="20"/>
          <w:szCs w:val="20"/>
        </w:rPr>
        <w:t xml:space="preserve"> </w:t>
      </w:r>
      <w:r w:rsidRPr="00753AC2">
        <w:rPr>
          <w:rFonts w:ascii="Arial" w:hAnsi="Arial" w:cs="Arial"/>
          <w:bCs/>
          <w:sz w:val="20"/>
          <w:szCs w:val="20"/>
        </w:rPr>
        <w:t>(en %)</w:t>
      </w:r>
    </w:p>
    <w:tbl>
      <w:tblPr>
        <w:tblW w:w="7156" w:type="dxa"/>
        <w:jc w:val="center"/>
        <w:tblInd w:w="-1453" w:type="dxa"/>
        <w:tblCellMar>
          <w:left w:w="70" w:type="dxa"/>
          <w:right w:w="70" w:type="dxa"/>
        </w:tblCellMar>
        <w:tblLook w:val="0000" w:firstRow="0" w:lastRow="0" w:firstColumn="0" w:lastColumn="0" w:noHBand="0" w:noVBand="0"/>
      </w:tblPr>
      <w:tblGrid>
        <w:gridCol w:w="3516"/>
        <w:gridCol w:w="1241"/>
        <w:gridCol w:w="1241"/>
        <w:gridCol w:w="1241"/>
      </w:tblGrid>
      <w:tr w:rsidR="00CD0AB2" w:rsidRPr="00753AC2" w:rsidTr="00916EA3">
        <w:trPr>
          <w:trHeight w:val="510"/>
          <w:jc w:val="center"/>
        </w:trPr>
        <w:tc>
          <w:tcPr>
            <w:tcW w:w="3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0AB2" w:rsidRPr="00753AC2" w:rsidRDefault="00CD0AB2" w:rsidP="00916EA3">
            <w:pPr>
              <w:jc w:val="center"/>
              <w:rPr>
                <w:rFonts w:ascii="Arial" w:hAnsi="Arial" w:cs="Arial"/>
                <w:sz w:val="20"/>
                <w:szCs w:val="20"/>
              </w:rPr>
            </w:pPr>
            <w:r w:rsidRPr="00753AC2">
              <w:rPr>
                <w:rFonts w:ascii="Arial" w:hAnsi="Arial" w:cs="Arial"/>
                <w:sz w:val="20"/>
                <w:szCs w:val="20"/>
              </w:rPr>
              <w:t>Taille de l’entreprise</w:t>
            </w:r>
          </w:p>
        </w:tc>
        <w:tc>
          <w:tcPr>
            <w:tcW w:w="1240" w:type="dxa"/>
            <w:tcBorders>
              <w:top w:val="single" w:sz="4" w:space="0" w:color="auto"/>
              <w:left w:val="nil"/>
              <w:bottom w:val="single" w:sz="4" w:space="0" w:color="auto"/>
              <w:right w:val="nil"/>
            </w:tcBorders>
            <w:shd w:val="clear" w:color="auto" w:fill="auto"/>
            <w:vAlign w:val="center"/>
          </w:tcPr>
          <w:p w:rsidR="00CD0AB2" w:rsidRPr="00753AC2" w:rsidRDefault="007D3928" w:rsidP="00916EA3">
            <w:pPr>
              <w:jc w:val="center"/>
              <w:rPr>
                <w:rFonts w:ascii="Arial" w:hAnsi="Arial" w:cs="Arial"/>
                <w:sz w:val="20"/>
                <w:szCs w:val="20"/>
              </w:rPr>
            </w:pPr>
            <w:r>
              <w:rPr>
                <w:rFonts w:ascii="Arial" w:hAnsi="Arial" w:cs="Arial"/>
                <w:sz w:val="20"/>
                <w:szCs w:val="20"/>
              </w:rPr>
              <w:t xml:space="preserve">Participation </w:t>
            </w:r>
            <w:r w:rsidR="00CD0AB2" w:rsidRPr="00753AC2">
              <w:rPr>
                <w:rFonts w:ascii="Arial" w:hAnsi="Arial" w:cs="Arial"/>
                <w:sz w:val="20"/>
                <w:szCs w:val="20"/>
              </w:rPr>
              <w:t>versée en 2014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CD0AB2" w:rsidRPr="00753AC2" w:rsidRDefault="007D3928" w:rsidP="00916EA3">
            <w:pPr>
              <w:jc w:val="center"/>
              <w:rPr>
                <w:rFonts w:ascii="Arial" w:hAnsi="Arial" w:cs="Arial"/>
                <w:sz w:val="20"/>
                <w:szCs w:val="20"/>
              </w:rPr>
            </w:pPr>
            <w:r>
              <w:rPr>
                <w:rFonts w:ascii="Arial" w:hAnsi="Arial" w:cs="Arial"/>
                <w:sz w:val="20"/>
                <w:szCs w:val="20"/>
              </w:rPr>
              <w:t>Participation</w:t>
            </w:r>
            <w:r w:rsidRPr="00753AC2">
              <w:rPr>
                <w:rFonts w:ascii="Arial" w:hAnsi="Arial" w:cs="Arial"/>
                <w:sz w:val="20"/>
                <w:szCs w:val="20"/>
              </w:rPr>
              <w:t xml:space="preserve"> </w:t>
            </w:r>
            <w:r w:rsidR="00CD0AB2" w:rsidRPr="00753AC2">
              <w:rPr>
                <w:rFonts w:ascii="Arial" w:hAnsi="Arial" w:cs="Arial"/>
                <w:sz w:val="20"/>
                <w:szCs w:val="20"/>
              </w:rPr>
              <w:t>versée en 2015</w:t>
            </w:r>
          </w:p>
        </w:tc>
        <w:tc>
          <w:tcPr>
            <w:tcW w:w="1200" w:type="dxa"/>
            <w:tcBorders>
              <w:top w:val="single" w:sz="4" w:space="0" w:color="auto"/>
              <w:left w:val="nil"/>
              <w:bottom w:val="single" w:sz="4" w:space="0" w:color="auto"/>
              <w:right w:val="single" w:sz="4" w:space="0" w:color="auto"/>
            </w:tcBorders>
            <w:shd w:val="clear" w:color="auto" w:fill="auto"/>
            <w:vAlign w:val="center"/>
          </w:tcPr>
          <w:p w:rsidR="00CD0AB2" w:rsidRPr="00753AC2" w:rsidRDefault="007D3928" w:rsidP="00916EA3">
            <w:pPr>
              <w:jc w:val="center"/>
              <w:rPr>
                <w:rFonts w:ascii="Arial" w:hAnsi="Arial" w:cs="Arial"/>
                <w:sz w:val="20"/>
                <w:szCs w:val="20"/>
              </w:rPr>
            </w:pPr>
            <w:r>
              <w:rPr>
                <w:rFonts w:ascii="Arial" w:hAnsi="Arial" w:cs="Arial"/>
                <w:sz w:val="20"/>
                <w:szCs w:val="20"/>
              </w:rPr>
              <w:t>Participation</w:t>
            </w:r>
            <w:r w:rsidRPr="00753AC2">
              <w:rPr>
                <w:rFonts w:ascii="Arial" w:hAnsi="Arial" w:cs="Arial"/>
                <w:sz w:val="20"/>
                <w:szCs w:val="20"/>
              </w:rPr>
              <w:t xml:space="preserve"> </w:t>
            </w:r>
            <w:r w:rsidR="00CD0AB2" w:rsidRPr="00753AC2">
              <w:rPr>
                <w:rFonts w:ascii="Arial" w:hAnsi="Arial" w:cs="Arial"/>
                <w:sz w:val="20"/>
                <w:szCs w:val="20"/>
              </w:rPr>
              <w:t>versée en 2016</w:t>
            </w:r>
          </w:p>
        </w:tc>
      </w:tr>
      <w:tr w:rsidR="00CD0AB2" w:rsidRPr="00753AC2" w:rsidTr="00916EA3">
        <w:trPr>
          <w:trHeight w:val="255"/>
          <w:jc w:val="center"/>
        </w:trPr>
        <w:tc>
          <w:tcPr>
            <w:tcW w:w="3516" w:type="dxa"/>
            <w:tcBorders>
              <w:top w:val="single" w:sz="4" w:space="0" w:color="auto"/>
              <w:left w:val="single" w:sz="4" w:space="0" w:color="auto"/>
              <w:bottom w:val="dashSmallGap" w:sz="4" w:space="0" w:color="auto"/>
              <w:right w:val="single" w:sz="4" w:space="0" w:color="auto"/>
            </w:tcBorders>
            <w:shd w:val="clear" w:color="auto" w:fill="auto"/>
            <w:noWrap/>
            <w:vAlign w:val="center"/>
          </w:tcPr>
          <w:p w:rsidR="00CD0AB2" w:rsidRPr="00753AC2" w:rsidRDefault="00CD0AB2" w:rsidP="00916EA3">
            <w:pPr>
              <w:rPr>
                <w:rFonts w:ascii="Arial" w:hAnsi="Arial" w:cs="Arial"/>
                <w:sz w:val="20"/>
                <w:szCs w:val="20"/>
              </w:rPr>
            </w:pPr>
            <w:r w:rsidRPr="00753AC2">
              <w:rPr>
                <w:rFonts w:ascii="Arial" w:hAnsi="Arial" w:cs="Arial"/>
                <w:sz w:val="20"/>
                <w:szCs w:val="20"/>
              </w:rPr>
              <w:t>10 à 49 salariés</w:t>
            </w:r>
          </w:p>
        </w:tc>
        <w:tc>
          <w:tcPr>
            <w:tcW w:w="1240" w:type="dxa"/>
            <w:tcBorders>
              <w:top w:val="single" w:sz="4" w:space="0" w:color="auto"/>
              <w:left w:val="nil"/>
              <w:bottom w:val="dashSmallGap" w:sz="4" w:space="0" w:color="auto"/>
              <w:right w:val="nil"/>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11,2</w:t>
            </w:r>
          </w:p>
        </w:tc>
        <w:tc>
          <w:tcPr>
            <w:tcW w:w="1200" w:type="dxa"/>
            <w:tcBorders>
              <w:top w:val="single" w:sz="4" w:space="0" w:color="auto"/>
              <w:left w:val="single" w:sz="4" w:space="0" w:color="auto"/>
              <w:bottom w:val="dashSmallGap" w:sz="4" w:space="0" w:color="auto"/>
              <w:right w:val="single" w:sz="4" w:space="0" w:color="auto"/>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12,6</w:t>
            </w:r>
          </w:p>
        </w:tc>
        <w:tc>
          <w:tcPr>
            <w:tcW w:w="1200" w:type="dxa"/>
            <w:tcBorders>
              <w:top w:val="single" w:sz="4" w:space="0" w:color="auto"/>
              <w:left w:val="nil"/>
              <w:bottom w:val="dashSmallGap" w:sz="4" w:space="0" w:color="auto"/>
              <w:right w:val="single" w:sz="4" w:space="0" w:color="auto"/>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13,2</w:t>
            </w:r>
          </w:p>
        </w:tc>
      </w:tr>
      <w:tr w:rsidR="00CD0AB2" w:rsidRPr="00753AC2" w:rsidTr="00916EA3">
        <w:trPr>
          <w:trHeight w:val="255"/>
          <w:jc w:val="center"/>
        </w:trPr>
        <w:tc>
          <w:tcPr>
            <w:tcW w:w="3516" w:type="dxa"/>
            <w:tcBorders>
              <w:top w:val="dashSmallGap" w:sz="4" w:space="0" w:color="auto"/>
              <w:left w:val="single" w:sz="4" w:space="0" w:color="auto"/>
              <w:bottom w:val="nil"/>
              <w:right w:val="single" w:sz="4" w:space="0" w:color="auto"/>
            </w:tcBorders>
            <w:shd w:val="clear" w:color="auto" w:fill="auto"/>
            <w:noWrap/>
            <w:vAlign w:val="center"/>
          </w:tcPr>
          <w:p w:rsidR="00CD0AB2" w:rsidRPr="00753AC2" w:rsidRDefault="00CD0AB2" w:rsidP="00916EA3">
            <w:pPr>
              <w:rPr>
                <w:rFonts w:ascii="Arial" w:hAnsi="Arial" w:cs="Arial"/>
                <w:sz w:val="20"/>
                <w:szCs w:val="20"/>
              </w:rPr>
            </w:pPr>
            <w:r w:rsidRPr="00753AC2">
              <w:rPr>
                <w:rFonts w:ascii="Arial" w:hAnsi="Arial" w:cs="Arial"/>
                <w:sz w:val="20"/>
                <w:szCs w:val="20"/>
              </w:rPr>
              <w:t>50 à 99 salariés</w:t>
            </w:r>
          </w:p>
        </w:tc>
        <w:tc>
          <w:tcPr>
            <w:tcW w:w="1240" w:type="dxa"/>
            <w:tcBorders>
              <w:top w:val="dashSmallGap" w:sz="4" w:space="0" w:color="auto"/>
              <w:left w:val="nil"/>
              <w:bottom w:val="nil"/>
              <w:right w:val="nil"/>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6,2</w:t>
            </w:r>
          </w:p>
        </w:tc>
        <w:tc>
          <w:tcPr>
            <w:tcW w:w="1200" w:type="dxa"/>
            <w:tcBorders>
              <w:top w:val="dashSmallGap" w:sz="4" w:space="0" w:color="auto"/>
              <w:left w:val="single" w:sz="4" w:space="0" w:color="auto"/>
              <w:bottom w:val="nil"/>
              <w:right w:val="single" w:sz="4" w:space="0" w:color="auto"/>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6,5</w:t>
            </w:r>
          </w:p>
        </w:tc>
        <w:tc>
          <w:tcPr>
            <w:tcW w:w="1200" w:type="dxa"/>
            <w:tcBorders>
              <w:top w:val="dashSmallGap" w:sz="4" w:space="0" w:color="auto"/>
              <w:left w:val="nil"/>
              <w:bottom w:val="nil"/>
              <w:right w:val="single" w:sz="4" w:space="0" w:color="auto"/>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5,5</w:t>
            </w:r>
          </w:p>
        </w:tc>
      </w:tr>
      <w:tr w:rsidR="00CD0AB2" w:rsidRPr="00753AC2" w:rsidTr="00916EA3">
        <w:trPr>
          <w:trHeight w:val="255"/>
          <w:jc w:val="center"/>
        </w:trPr>
        <w:tc>
          <w:tcPr>
            <w:tcW w:w="3516" w:type="dxa"/>
            <w:tcBorders>
              <w:top w:val="nil"/>
              <w:left w:val="single" w:sz="4" w:space="0" w:color="auto"/>
              <w:bottom w:val="nil"/>
              <w:right w:val="single" w:sz="4" w:space="0" w:color="auto"/>
            </w:tcBorders>
            <w:shd w:val="clear" w:color="auto" w:fill="auto"/>
            <w:noWrap/>
            <w:vAlign w:val="center"/>
          </w:tcPr>
          <w:p w:rsidR="00CD0AB2" w:rsidRPr="00753AC2" w:rsidRDefault="00CD0AB2" w:rsidP="00916EA3">
            <w:pPr>
              <w:rPr>
                <w:rFonts w:ascii="Arial" w:hAnsi="Arial" w:cs="Arial"/>
                <w:sz w:val="20"/>
                <w:szCs w:val="20"/>
              </w:rPr>
            </w:pPr>
            <w:r w:rsidRPr="00753AC2">
              <w:rPr>
                <w:rFonts w:ascii="Arial" w:hAnsi="Arial" w:cs="Arial"/>
                <w:sz w:val="20"/>
                <w:szCs w:val="20"/>
              </w:rPr>
              <w:t>100 à 249 salariés</w:t>
            </w:r>
          </w:p>
        </w:tc>
        <w:tc>
          <w:tcPr>
            <w:tcW w:w="1240" w:type="dxa"/>
            <w:tcBorders>
              <w:top w:val="nil"/>
              <w:left w:val="nil"/>
              <w:bottom w:val="nil"/>
              <w:right w:val="nil"/>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5,9</w:t>
            </w:r>
          </w:p>
        </w:tc>
        <w:tc>
          <w:tcPr>
            <w:tcW w:w="1200" w:type="dxa"/>
            <w:tcBorders>
              <w:top w:val="nil"/>
              <w:left w:val="single" w:sz="4" w:space="0" w:color="auto"/>
              <w:bottom w:val="nil"/>
              <w:right w:val="single" w:sz="4" w:space="0" w:color="auto"/>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7,4</w:t>
            </w:r>
          </w:p>
        </w:tc>
        <w:tc>
          <w:tcPr>
            <w:tcW w:w="1200" w:type="dxa"/>
            <w:tcBorders>
              <w:top w:val="nil"/>
              <w:left w:val="nil"/>
              <w:bottom w:val="nil"/>
              <w:right w:val="single" w:sz="4" w:space="0" w:color="auto"/>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6,6</w:t>
            </w:r>
          </w:p>
        </w:tc>
      </w:tr>
      <w:tr w:rsidR="00CD0AB2" w:rsidRPr="00753AC2" w:rsidTr="00916EA3">
        <w:trPr>
          <w:trHeight w:val="255"/>
          <w:jc w:val="center"/>
        </w:trPr>
        <w:tc>
          <w:tcPr>
            <w:tcW w:w="3516" w:type="dxa"/>
            <w:tcBorders>
              <w:top w:val="nil"/>
              <w:left w:val="single" w:sz="4" w:space="0" w:color="auto"/>
              <w:bottom w:val="nil"/>
              <w:right w:val="single" w:sz="4" w:space="0" w:color="auto"/>
            </w:tcBorders>
            <w:shd w:val="clear" w:color="auto" w:fill="auto"/>
            <w:noWrap/>
            <w:vAlign w:val="center"/>
          </w:tcPr>
          <w:p w:rsidR="00CD0AB2" w:rsidRPr="00753AC2" w:rsidRDefault="00CD0AB2" w:rsidP="00916EA3">
            <w:pPr>
              <w:rPr>
                <w:rFonts w:ascii="Arial" w:hAnsi="Arial" w:cs="Arial"/>
                <w:sz w:val="20"/>
                <w:szCs w:val="20"/>
              </w:rPr>
            </w:pPr>
            <w:r w:rsidRPr="00753AC2">
              <w:rPr>
                <w:rFonts w:ascii="Arial" w:hAnsi="Arial" w:cs="Arial"/>
                <w:sz w:val="20"/>
                <w:szCs w:val="20"/>
              </w:rPr>
              <w:t>250 à 499 salariés</w:t>
            </w:r>
          </w:p>
        </w:tc>
        <w:tc>
          <w:tcPr>
            <w:tcW w:w="1240" w:type="dxa"/>
            <w:tcBorders>
              <w:top w:val="nil"/>
              <w:left w:val="nil"/>
              <w:bottom w:val="nil"/>
              <w:right w:val="nil"/>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10,0</w:t>
            </w:r>
          </w:p>
        </w:tc>
        <w:tc>
          <w:tcPr>
            <w:tcW w:w="1200" w:type="dxa"/>
            <w:tcBorders>
              <w:top w:val="nil"/>
              <w:left w:val="single" w:sz="4" w:space="0" w:color="auto"/>
              <w:bottom w:val="nil"/>
              <w:right w:val="single" w:sz="4" w:space="0" w:color="auto"/>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8,7</w:t>
            </w:r>
          </w:p>
        </w:tc>
        <w:tc>
          <w:tcPr>
            <w:tcW w:w="1200" w:type="dxa"/>
            <w:tcBorders>
              <w:top w:val="nil"/>
              <w:left w:val="nil"/>
              <w:bottom w:val="nil"/>
              <w:right w:val="single" w:sz="4" w:space="0" w:color="auto"/>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10,7</w:t>
            </w:r>
          </w:p>
        </w:tc>
      </w:tr>
      <w:tr w:rsidR="00CD0AB2" w:rsidRPr="00753AC2" w:rsidTr="00916EA3">
        <w:trPr>
          <w:trHeight w:val="255"/>
          <w:jc w:val="center"/>
        </w:trPr>
        <w:tc>
          <w:tcPr>
            <w:tcW w:w="3516" w:type="dxa"/>
            <w:tcBorders>
              <w:top w:val="nil"/>
              <w:left w:val="single" w:sz="4" w:space="0" w:color="auto"/>
              <w:bottom w:val="nil"/>
              <w:right w:val="single" w:sz="4" w:space="0" w:color="auto"/>
            </w:tcBorders>
            <w:shd w:val="clear" w:color="auto" w:fill="auto"/>
            <w:noWrap/>
            <w:vAlign w:val="center"/>
          </w:tcPr>
          <w:p w:rsidR="00CD0AB2" w:rsidRPr="00753AC2" w:rsidRDefault="00CD0AB2" w:rsidP="00916EA3">
            <w:pPr>
              <w:rPr>
                <w:rFonts w:ascii="Arial" w:hAnsi="Arial" w:cs="Arial"/>
                <w:sz w:val="20"/>
                <w:szCs w:val="20"/>
              </w:rPr>
            </w:pPr>
            <w:r w:rsidRPr="00753AC2">
              <w:rPr>
                <w:rFonts w:ascii="Arial" w:hAnsi="Arial" w:cs="Arial"/>
                <w:sz w:val="20"/>
                <w:szCs w:val="20"/>
              </w:rPr>
              <w:t>500 à 999 salariés</w:t>
            </w:r>
          </w:p>
        </w:tc>
        <w:tc>
          <w:tcPr>
            <w:tcW w:w="1240" w:type="dxa"/>
            <w:tcBorders>
              <w:top w:val="nil"/>
              <w:left w:val="nil"/>
              <w:bottom w:val="nil"/>
              <w:right w:val="nil"/>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14,2</w:t>
            </w:r>
          </w:p>
        </w:tc>
        <w:tc>
          <w:tcPr>
            <w:tcW w:w="1200" w:type="dxa"/>
            <w:tcBorders>
              <w:top w:val="nil"/>
              <w:left w:val="single" w:sz="4" w:space="0" w:color="auto"/>
              <w:bottom w:val="nil"/>
              <w:right w:val="single" w:sz="4" w:space="0" w:color="auto"/>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13,0</w:t>
            </w:r>
          </w:p>
        </w:tc>
        <w:tc>
          <w:tcPr>
            <w:tcW w:w="1200" w:type="dxa"/>
            <w:tcBorders>
              <w:top w:val="nil"/>
              <w:left w:val="nil"/>
              <w:bottom w:val="nil"/>
              <w:right w:val="single" w:sz="4" w:space="0" w:color="auto"/>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17,9</w:t>
            </w:r>
          </w:p>
        </w:tc>
      </w:tr>
      <w:tr w:rsidR="00CD0AB2" w:rsidRPr="00753AC2" w:rsidTr="00916EA3">
        <w:trPr>
          <w:trHeight w:val="255"/>
          <w:jc w:val="center"/>
        </w:trPr>
        <w:tc>
          <w:tcPr>
            <w:tcW w:w="3516" w:type="dxa"/>
            <w:tcBorders>
              <w:top w:val="nil"/>
              <w:left w:val="single" w:sz="4" w:space="0" w:color="auto"/>
              <w:bottom w:val="single" w:sz="4" w:space="0" w:color="auto"/>
              <w:right w:val="single" w:sz="4" w:space="0" w:color="auto"/>
            </w:tcBorders>
            <w:shd w:val="clear" w:color="auto" w:fill="auto"/>
            <w:noWrap/>
            <w:vAlign w:val="center"/>
          </w:tcPr>
          <w:p w:rsidR="00CD0AB2" w:rsidRPr="00753AC2" w:rsidRDefault="00CD0AB2" w:rsidP="00916EA3">
            <w:pPr>
              <w:rPr>
                <w:rFonts w:ascii="Arial" w:hAnsi="Arial" w:cs="Arial"/>
                <w:sz w:val="20"/>
                <w:szCs w:val="20"/>
              </w:rPr>
            </w:pPr>
            <w:r w:rsidRPr="00753AC2">
              <w:rPr>
                <w:rFonts w:ascii="Arial" w:hAnsi="Arial" w:cs="Arial"/>
                <w:sz w:val="20"/>
                <w:szCs w:val="20"/>
              </w:rPr>
              <w:t>1 000 salariés ou plus</w:t>
            </w:r>
          </w:p>
        </w:tc>
        <w:tc>
          <w:tcPr>
            <w:tcW w:w="1240" w:type="dxa"/>
            <w:tcBorders>
              <w:top w:val="nil"/>
              <w:left w:val="nil"/>
              <w:bottom w:val="single" w:sz="4" w:space="0" w:color="auto"/>
              <w:right w:val="nil"/>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22,2</w:t>
            </w:r>
          </w:p>
        </w:tc>
        <w:tc>
          <w:tcPr>
            <w:tcW w:w="1200" w:type="dxa"/>
            <w:tcBorders>
              <w:top w:val="nil"/>
              <w:left w:val="single" w:sz="4" w:space="0" w:color="auto"/>
              <w:bottom w:val="single" w:sz="4" w:space="0" w:color="auto"/>
              <w:right w:val="single" w:sz="4" w:space="0" w:color="auto"/>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24,0</w:t>
            </w:r>
          </w:p>
        </w:tc>
        <w:tc>
          <w:tcPr>
            <w:tcW w:w="1200" w:type="dxa"/>
            <w:tcBorders>
              <w:top w:val="nil"/>
              <w:left w:val="nil"/>
              <w:bottom w:val="single" w:sz="4" w:space="0" w:color="auto"/>
              <w:right w:val="single" w:sz="4" w:space="0" w:color="auto"/>
            </w:tcBorders>
            <w:shd w:val="clear" w:color="auto" w:fill="auto"/>
            <w:noWrap/>
            <w:vAlign w:val="center"/>
          </w:tcPr>
          <w:p w:rsidR="00CD0AB2" w:rsidRPr="00753AC2" w:rsidRDefault="00CD0AB2" w:rsidP="00916EA3">
            <w:pPr>
              <w:ind w:right="227"/>
              <w:jc w:val="right"/>
              <w:rPr>
                <w:rFonts w:ascii="Arial" w:hAnsi="Arial" w:cs="Arial"/>
                <w:sz w:val="20"/>
                <w:szCs w:val="20"/>
              </w:rPr>
            </w:pPr>
            <w:r w:rsidRPr="00753AC2">
              <w:rPr>
                <w:rFonts w:ascii="Arial" w:hAnsi="Arial" w:cs="Arial"/>
                <w:sz w:val="20"/>
                <w:szCs w:val="20"/>
              </w:rPr>
              <w:t>25,4</w:t>
            </w:r>
          </w:p>
        </w:tc>
      </w:tr>
      <w:tr w:rsidR="00CD0AB2" w:rsidRPr="00753AC2" w:rsidTr="00916EA3">
        <w:trPr>
          <w:trHeight w:val="221"/>
          <w:jc w:val="center"/>
        </w:trPr>
        <w:tc>
          <w:tcPr>
            <w:tcW w:w="3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0AB2" w:rsidRPr="00753AC2" w:rsidRDefault="00CD0AB2" w:rsidP="00916EA3">
            <w:pPr>
              <w:rPr>
                <w:rFonts w:ascii="Arial" w:hAnsi="Arial" w:cs="Arial"/>
                <w:b/>
                <w:bCs/>
                <w:sz w:val="20"/>
                <w:szCs w:val="20"/>
              </w:rPr>
            </w:pPr>
            <w:r w:rsidRPr="00753AC2">
              <w:rPr>
                <w:rFonts w:ascii="Arial" w:hAnsi="Arial" w:cs="Arial"/>
                <w:b/>
                <w:bCs/>
                <w:sz w:val="20"/>
                <w:szCs w:val="20"/>
              </w:rPr>
              <w:t xml:space="preserve">Entreprises d’au moins 50 salariés </w:t>
            </w:r>
          </w:p>
        </w:tc>
        <w:tc>
          <w:tcPr>
            <w:tcW w:w="1240" w:type="dxa"/>
            <w:tcBorders>
              <w:top w:val="single" w:sz="4" w:space="0" w:color="auto"/>
              <w:left w:val="nil"/>
              <w:bottom w:val="single" w:sz="4" w:space="0" w:color="auto"/>
              <w:right w:val="nil"/>
            </w:tcBorders>
            <w:shd w:val="clear" w:color="auto" w:fill="auto"/>
            <w:noWrap/>
            <w:vAlign w:val="center"/>
          </w:tcPr>
          <w:p w:rsidR="00CD0AB2" w:rsidRPr="00753AC2" w:rsidRDefault="00CD0AB2" w:rsidP="00916EA3">
            <w:pPr>
              <w:ind w:right="227"/>
              <w:jc w:val="right"/>
              <w:rPr>
                <w:rFonts w:ascii="Arial" w:hAnsi="Arial" w:cs="Arial"/>
                <w:b/>
                <w:sz w:val="20"/>
                <w:szCs w:val="20"/>
              </w:rPr>
            </w:pPr>
            <w:r w:rsidRPr="00753AC2">
              <w:rPr>
                <w:rFonts w:ascii="Arial" w:hAnsi="Arial" w:cs="Arial"/>
                <w:b/>
                <w:sz w:val="20"/>
                <w:szCs w:val="20"/>
              </w:rPr>
              <w:t>7,9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0AB2" w:rsidRPr="00753AC2" w:rsidRDefault="00CD0AB2" w:rsidP="00916EA3">
            <w:pPr>
              <w:ind w:right="227"/>
              <w:jc w:val="right"/>
              <w:rPr>
                <w:rFonts w:ascii="Arial" w:hAnsi="Arial" w:cs="Arial"/>
                <w:b/>
                <w:sz w:val="20"/>
                <w:szCs w:val="20"/>
              </w:rPr>
            </w:pPr>
            <w:r w:rsidRPr="00753AC2">
              <w:rPr>
                <w:rFonts w:ascii="Arial" w:hAnsi="Arial" w:cs="Arial"/>
                <w:b/>
                <w:sz w:val="20"/>
                <w:szCs w:val="20"/>
              </w:rPr>
              <w:t>8,2</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CD0AB2" w:rsidRPr="00753AC2" w:rsidRDefault="00CD0AB2" w:rsidP="00916EA3">
            <w:pPr>
              <w:ind w:right="227"/>
              <w:jc w:val="right"/>
              <w:rPr>
                <w:rFonts w:ascii="Arial" w:hAnsi="Arial" w:cs="Arial"/>
                <w:b/>
                <w:sz w:val="20"/>
                <w:szCs w:val="20"/>
              </w:rPr>
            </w:pPr>
            <w:r w:rsidRPr="00753AC2">
              <w:rPr>
                <w:rFonts w:ascii="Arial" w:hAnsi="Arial" w:cs="Arial"/>
                <w:b/>
                <w:sz w:val="20"/>
                <w:szCs w:val="20"/>
              </w:rPr>
              <w:t>8,0</w:t>
            </w:r>
          </w:p>
        </w:tc>
      </w:tr>
      <w:tr w:rsidR="00CD0AB2" w:rsidRPr="00753AC2" w:rsidTr="00916EA3">
        <w:trPr>
          <w:trHeight w:val="176"/>
          <w:jc w:val="center"/>
        </w:trPr>
        <w:tc>
          <w:tcPr>
            <w:tcW w:w="3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0AB2" w:rsidRPr="00753AC2" w:rsidRDefault="00CD0AB2" w:rsidP="00916EA3">
            <w:pPr>
              <w:rPr>
                <w:rFonts w:ascii="Arial" w:hAnsi="Arial" w:cs="Arial"/>
                <w:b/>
                <w:bCs/>
                <w:sz w:val="20"/>
                <w:szCs w:val="20"/>
              </w:rPr>
            </w:pPr>
            <w:r w:rsidRPr="00753AC2">
              <w:rPr>
                <w:rFonts w:ascii="Arial" w:hAnsi="Arial" w:cs="Arial"/>
                <w:b/>
                <w:bCs/>
                <w:sz w:val="20"/>
                <w:szCs w:val="20"/>
              </w:rPr>
              <w:t>Ensemble des entreprises</w:t>
            </w:r>
          </w:p>
        </w:tc>
        <w:tc>
          <w:tcPr>
            <w:tcW w:w="1240" w:type="dxa"/>
            <w:tcBorders>
              <w:top w:val="single" w:sz="4" w:space="0" w:color="auto"/>
              <w:left w:val="nil"/>
              <w:bottom w:val="single" w:sz="4" w:space="0" w:color="auto"/>
              <w:right w:val="nil"/>
            </w:tcBorders>
            <w:shd w:val="clear" w:color="auto" w:fill="auto"/>
            <w:noWrap/>
            <w:vAlign w:val="center"/>
          </w:tcPr>
          <w:p w:rsidR="00CD0AB2" w:rsidRPr="00753AC2" w:rsidRDefault="00CD0AB2" w:rsidP="00916EA3">
            <w:pPr>
              <w:ind w:right="227"/>
              <w:jc w:val="right"/>
              <w:rPr>
                <w:rFonts w:ascii="Arial" w:hAnsi="Arial" w:cs="Arial"/>
                <w:b/>
                <w:bCs/>
                <w:sz w:val="20"/>
                <w:szCs w:val="20"/>
              </w:rPr>
            </w:pPr>
            <w:r w:rsidRPr="00753AC2">
              <w:rPr>
                <w:rFonts w:ascii="Arial" w:hAnsi="Arial" w:cs="Arial"/>
                <w:b/>
                <w:bCs/>
                <w:sz w:val="20"/>
                <w:szCs w:val="20"/>
              </w:rPr>
              <w:t>8,7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0AB2" w:rsidRPr="00753AC2" w:rsidRDefault="00CD0AB2" w:rsidP="00916EA3">
            <w:pPr>
              <w:ind w:right="227"/>
              <w:jc w:val="right"/>
              <w:rPr>
                <w:rFonts w:ascii="Arial" w:hAnsi="Arial" w:cs="Arial"/>
                <w:b/>
                <w:bCs/>
                <w:sz w:val="20"/>
                <w:szCs w:val="20"/>
              </w:rPr>
            </w:pPr>
            <w:r w:rsidRPr="00753AC2">
              <w:rPr>
                <w:rFonts w:ascii="Arial" w:hAnsi="Arial" w:cs="Arial"/>
                <w:b/>
                <w:bCs/>
                <w:sz w:val="20"/>
                <w:szCs w:val="20"/>
              </w:rPr>
              <w:t>9,2</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CD0AB2" w:rsidRPr="00753AC2" w:rsidRDefault="00CD0AB2" w:rsidP="00916EA3">
            <w:pPr>
              <w:ind w:right="227"/>
              <w:jc w:val="right"/>
              <w:rPr>
                <w:rFonts w:ascii="Arial" w:hAnsi="Arial" w:cs="Arial"/>
                <w:b/>
                <w:bCs/>
                <w:sz w:val="20"/>
                <w:szCs w:val="20"/>
              </w:rPr>
            </w:pPr>
            <w:r w:rsidRPr="00753AC2">
              <w:rPr>
                <w:rFonts w:ascii="Arial" w:hAnsi="Arial" w:cs="Arial"/>
                <w:b/>
                <w:bCs/>
                <w:sz w:val="20"/>
                <w:szCs w:val="20"/>
              </w:rPr>
              <w:t>9,3</w:t>
            </w:r>
          </w:p>
        </w:tc>
      </w:tr>
    </w:tbl>
    <w:p w:rsidR="00CD0AB2" w:rsidRPr="00753AC2" w:rsidRDefault="00CD0AB2" w:rsidP="009014A4">
      <w:pPr>
        <w:autoSpaceDE w:val="0"/>
        <w:autoSpaceDN w:val="0"/>
        <w:adjustRightInd w:val="0"/>
        <w:spacing w:after="0" w:line="240" w:lineRule="auto"/>
        <w:ind w:left="993"/>
        <w:rPr>
          <w:rFonts w:ascii="Arial" w:hAnsi="Arial" w:cs="Arial"/>
          <w:bCs/>
          <w:i/>
          <w:sz w:val="16"/>
          <w:szCs w:val="16"/>
        </w:rPr>
      </w:pPr>
      <w:r w:rsidRPr="00753AC2">
        <w:rPr>
          <w:rFonts w:ascii="Arial" w:hAnsi="Arial" w:cs="Arial"/>
          <w:bCs/>
          <w:i/>
          <w:sz w:val="16"/>
          <w:szCs w:val="16"/>
        </w:rPr>
        <w:t xml:space="preserve">Champ : entreprises de 10 salariés ou plus qui ont distribué une prime de participation </w:t>
      </w:r>
    </w:p>
    <w:p w:rsidR="00CD0AB2" w:rsidRPr="00753AC2" w:rsidRDefault="00CD0AB2" w:rsidP="009014A4">
      <w:pPr>
        <w:autoSpaceDE w:val="0"/>
        <w:autoSpaceDN w:val="0"/>
        <w:adjustRightInd w:val="0"/>
        <w:spacing w:after="0" w:line="240" w:lineRule="auto"/>
        <w:ind w:left="993"/>
        <w:rPr>
          <w:rFonts w:ascii="Arial" w:hAnsi="Arial" w:cs="Arial"/>
          <w:b/>
          <w:bCs/>
          <w:sz w:val="16"/>
          <w:szCs w:val="16"/>
        </w:rPr>
      </w:pPr>
      <w:r w:rsidRPr="00753AC2">
        <w:rPr>
          <w:rFonts w:ascii="Arial" w:hAnsi="Arial" w:cs="Arial"/>
          <w:bCs/>
          <w:i/>
          <w:sz w:val="16"/>
          <w:szCs w:val="16"/>
        </w:rPr>
        <w:t>Source : DARES, enquêtes Acemo-PIPA 2014 à 2016</w:t>
      </w:r>
    </w:p>
    <w:p w:rsidR="00CD0AB2" w:rsidRPr="00571A4C" w:rsidRDefault="00CD0AB2" w:rsidP="00F85D64">
      <w:pPr>
        <w:jc w:val="both"/>
        <w:rPr>
          <w:i/>
        </w:rPr>
      </w:pPr>
    </w:p>
    <w:p w:rsidR="00DE5825" w:rsidRDefault="00DE5825" w:rsidP="00F0270F">
      <w:pPr>
        <w:pStyle w:val="COPIESAS2"/>
      </w:pPr>
      <w:bookmarkStart w:id="62" w:name="_Toc509513825"/>
      <w:r>
        <w:t>Les obstacles au maintien de la formule actuelle de la réserve spéciale de participation</w:t>
      </w:r>
      <w:bookmarkEnd w:id="62"/>
      <w:r>
        <w:t xml:space="preserve"> </w:t>
      </w:r>
    </w:p>
    <w:p w:rsidR="00DE5825" w:rsidRDefault="00DE5825" w:rsidP="00DE5825">
      <w:pPr>
        <w:jc w:val="both"/>
      </w:pPr>
      <w:r w:rsidRPr="0020320D">
        <w:t xml:space="preserve">La formule de calcul de la réserve spéciale de la participation souffre depuis de nombreuses années d’un manque de lisibilité. </w:t>
      </w:r>
      <w:r>
        <w:t>Les employeurs sont difficilement en mesure d’en expliciter les différents termes aux salariés, lesquels ne perçoivent pas nécessairement le sens des primes versées au titre de la participation. Par ailleurs, la formule légale a été conçue, en 1967, dans le contexte de l’économie française industrielle, n’est plus tout à fait adaptée au tissu des entreprises dont les activités se sont largement tertiarisées depuis. En effet, la formule actuelle n’est plus adaptée aux mutations économiques de la France un demi-siècle après la création de la participation :</w:t>
      </w:r>
    </w:p>
    <w:p w:rsidR="00DE5825" w:rsidRDefault="00DE5825" w:rsidP="00DE5825">
      <w:pPr>
        <w:jc w:val="both"/>
      </w:pPr>
      <w:r>
        <w:t>-</w:t>
      </w:r>
      <w:r>
        <w:tab/>
        <w:t>le secteur industriel, où les capitaux propres sont conséquents, n’est plus aussi présent dans l’économie française que lorsque la participation a été mise en place en 1967 ;</w:t>
      </w:r>
    </w:p>
    <w:p w:rsidR="00DE5825" w:rsidRPr="0020320D" w:rsidRDefault="00DE5825" w:rsidP="00DE5825">
      <w:pPr>
        <w:jc w:val="both"/>
      </w:pPr>
      <w:r>
        <w:t>-</w:t>
      </w:r>
      <w:r>
        <w:tab/>
        <w:t>le recours à la sous-traitance est fréquent aujourd’hui alors qu’il n’existait pas il y a 50 ans remettant en cause la pertinence du ratio « salaires/valeur ajoutée ».</w:t>
      </w:r>
    </w:p>
    <w:p w:rsidR="00DE5825" w:rsidRDefault="00DE5825" w:rsidP="00F0270F">
      <w:pPr>
        <w:pStyle w:val="COPIESAS2"/>
      </w:pPr>
      <w:bookmarkStart w:id="63" w:name="_Toc509513826"/>
      <w:r w:rsidRPr="00A3027B">
        <w:t>L’objectif de la modification de la formule de calcul</w:t>
      </w:r>
      <w:bookmarkEnd w:id="63"/>
    </w:p>
    <w:p w:rsidR="00DE5825" w:rsidRDefault="00DE5825" w:rsidP="00DE5825">
      <w:pPr>
        <w:jc w:val="both"/>
      </w:pPr>
      <w:r>
        <w:t>L’objectif de la modification de la formule de calcul de la réserve spéciale de participation est avant tout de clarifier les termes de ce calcul afin de rendre la formule plus lisible et accessible à l’ensemble des acteurs, dans un souci d’équité entre salariés.</w:t>
      </w:r>
    </w:p>
    <w:p w:rsidR="00DE5825" w:rsidRDefault="00DE5825" w:rsidP="00DE5825">
      <w:pPr>
        <w:jc w:val="both"/>
      </w:pPr>
      <w:r>
        <w:t>La simplification n’est pas un but en soi. Elle doit être au service de la lisibilité, qui seule permet de garantir que le salarié pourra s’approprier la formule de calcul de la réserve spéciale de participation (RSP). Elle doit être aussi au service de l’équité</w:t>
      </w:r>
      <w:r w:rsidR="005734A6">
        <w:t xml:space="preserve"> entre tous les salariés</w:t>
      </w:r>
      <w:r>
        <w:t xml:space="preserve">. Elle doit garantir une extension des bénéficiaires, conformément à la lettre de saisine de la ministre du Travail. Elle doit garantir </w:t>
      </w:r>
      <w:r>
        <w:lastRenderedPageBreak/>
        <w:t>aussi, toute chose égale par ailleurs, que la différence de montant, très contrastée, entre les différents secteurs d’activité soient amoindries, à défaut de pouvoir être totalement résorbée. C’est à l’aune de ces deux exigences que la réforme de la formule de calcul de la RSP trouvera sa légitimité.</w:t>
      </w:r>
    </w:p>
    <w:p w:rsidR="00DE5825" w:rsidRDefault="00DE5825" w:rsidP="00DE5825">
      <w:pPr>
        <w:jc w:val="both"/>
        <w:rPr>
          <w:b/>
        </w:rPr>
      </w:pPr>
      <w:r w:rsidRPr="00D0445B">
        <w:rPr>
          <w:b/>
        </w:rPr>
        <w:t>Moyen n°</w:t>
      </w:r>
      <w:r>
        <w:rPr>
          <w:b/>
        </w:rPr>
        <w:t>1</w:t>
      </w:r>
      <w:r w:rsidRPr="009A3C48">
        <w:rPr>
          <w:b/>
        </w:rPr>
        <w:t xml:space="preserve"> : </w:t>
      </w:r>
      <w:r w:rsidRPr="00A3027B">
        <w:rPr>
          <w:b/>
        </w:rPr>
        <w:t xml:space="preserve">Une formule de calcul </w:t>
      </w:r>
      <w:r>
        <w:rPr>
          <w:b/>
        </w:rPr>
        <w:t xml:space="preserve">radicalement </w:t>
      </w:r>
      <w:r w:rsidRPr="00A3027B">
        <w:rPr>
          <w:b/>
        </w:rPr>
        <w:t xml:space="preserve">simplifiée </w:t>
      </w:r>
      <w:r w:rsidRPr="009A3C48">
        <w:rPr>
          <w:b/>
        </w:rPr>
        <w:t xml:space="preserve"> </w:t>
      </w:r>
    </w:p>
    <w:p w:rsidR="00DE5825" w:rsidRPr="00C1680A" w:rsidRDefault="00DE5825" w:rsidP="00DE5825">
      <w:pPr>
        <w:jc w:val="both"/>
      </w:pPr>
      <w:r>
        <w:t>En vue de nourrir les travaux</w:t>
      </w:r>
      <w:r w:rsidRPr="00C1680A">
        <w:t xml:space="preserve"> du </w:t>
      </w:r>
      <w:r w:rsidR="009014A4" w:rsidRPr="00C1680A">
        <w:t>COPIESAS</w:t>
      </w:r>
      <w:r w:rsidRPr="00C1680A">
        <w:t xml:space="preserve">, la Dares a effectué des simulations de différentes formules de calcul simplifiées de la réserve de participation, afin d'en mesurer l'impact pour les entreprises. </w:t>
      </w:r>
      <w:r>
        <w:t>La première des simulations concerne la première piste ministérielle d’une modification radicale, basée sur un pourcentage du bénéfice</w:t>
      </w:r>
      <w:r w:rsidR="007D3928" w:rsidRPr="007D3928">
        <w:t xml:space="preserve"> </w:t>
      </w:r>
      <w:r w:rsidR="007D3928">
        <w:t>comptable. Afin d’éviter des prélèvements multiples de participation sur les dividendes versés par les filiales à leur maison-mère, ceux-ci sont déduits du bénéfice. Le bénéfice comptable retenu dans les simulations est donc calculé en retranchant les « produits financiers de participations » (ligne GJ de la liasse fiscale) au résultat net de l’exercice (ligne HN)</w:t>
      </w:r>
      <w:r>
        <w:t>.</w:t>
      </w:r>
    </w:p>
    <w:p w:rsidR="00DE5825" w:rsidRPr="00C1680A" w:rsidRDefault="00DE5825" w:rsidP="00DE5825">
      <w:pPr>
        <w:jc w:val="both"/>
      </w:pPr>
      <w:r w:rsidRPr="00C1680A">
        <w:t xml:space="preserve">Les simulations d’impact </w:t>
      </w:r>
      <w:r>
        <w:t>ont donc porté sur</w:t>
      </w:r>
      <w:r w:rsidRPr="00C1680A">
        <w:t xml:space="preserve"> les formules simplifiées suivantes :</w:t>
      </w:r>
    </w:p>
    <w:p w:rsidR="00DE5825" w:rsidRPr="00C1680A" w:rsidRDefault="00DE5825" w:rsidP="00DE5825">
      <w:pPr>
        <w:pStyle w:val="Paragraphedeliste"/>
        <w:numPr>
          <w:ilvl w:val="0"/>
          <w:numId w:val="7"/>
        </w:numPr>
        <w:jc w:val="both"/>
      </w:pPr>
      <w:r w:rsidRPr="00C1680A">
        <w:t>RSPBC_</w:t>
      </w:r>
      <w:r w:rsidR="007D3928">
        <w:t>1</w:t>
      </w:r>
      <w:r w:rsidRPr="00C1680A">
        <w:t>=5%*bénéfice comptable</w:t>
      </w:r>
    </w:p>
    <w:p w:rsidR="00DE5825" w:rsidRPr="00C1680A" w:rsidRDefault="00DE5825" w:rsidP="00DE5825">
      <w:pPr>
        <w:pStyle w:val="Paragraphedeliste"/>
        <w:numPr>
          <w:ilvl w:val="0"/>
          <w:numId w:val="7"/>
        </w:numPr>
        <w:jc w:val="both"/>
      </w:pPr>
      <w:r w:rsidRPr="00C1680A">
        <w:t>RSPBC_</w:t>
      </w:r>
      <w:r w:rsidR="007D3928">
        <w:t>2</w:t>
      </w:r>
      <w:r w:rsidRPr="00C1680A">
        <w:t>=10%*bénéfice comptable</w:t>
      </w:r>
    </w:p>
    <w:p w:rsidR="00DE5825" w:rsidRPr="00C1680A" w:rsidRDefault="00DE5825" w:rsidP="00DE5825">
      <w:pPr>
        <w:pStyle w:val="Paragraphedeliste"/>
        <w:numPr>
          <w:ilvl w:val="0"/>
          <w:numId w:val="7"/>
        </w:numPr>
        <w:jc w:val="both"/>
      </w:pPr>
      <w:r w:rsidRPr="00C1680A">
        <w:t>RSPBC_</w:t>
      </w:r>
      <w:r w:rsidR="007D3928">
        <w:t>3</w:t>
      </w:r>
      <w:r w:rsidRPr="00C1680A">
        <w:t>=15%*bénéfice comptable</w:t>
      </w:r>
    </w:p>
    <w:p w:rsidR="00DE5825" w:rsidRDefault="00DE5825" w:rsidP="00DE5825">
      <w:pPr>
        <w:pStyle w:val="Paragraphedeliste"/>
        <w:numPr>
          <w:ilvl w:val="0"/>
          <w:numId w:val="7"/>
        </w:numPr>
        <w:jc w:val="both"/>
      </w:pPr>
      <w:r w:rsidRPr="00C1680A">
        <w:t>RSPBC_</w:t>
      </w:r>
      <w:r w:rsidR="007D3928">
        <w:t>4</w:t>
      </w:r>
      <w:r w:rsidRPr="00C1680A">
        <w:t>=20%*bénéfice comptable</w:t>
      </w:r>
    </w:p>
    <w:p w:rsidR="00DE5825" w:rsidRDefault="00DE5825" w:rsidP="00DE5825">
      <w:pPr>
        <w:jc w:val="both"/>
      </w:pPr>
      <w:r>
        <w:t xml:space="preserve">Aujourd’hui, le montant de participation versé par les entreprises est notamment basé sur le bénéfice fiscal. Il se calcule à partir du bénéfice comptable auquel on ajoute les réintégrations fiscales nettes des déductions fiscales (voir encadré). Il prend aussi en compte les déficits relatifs aux exercices antérieurs. Afin de rapprocher la participation de la réalité vécue dans l’entreprise par les salariés, et d’éviter les reports fiscaux déficitaires qui peuvent annuler la participation sur plusieurs exercices, le </w:t>
      </w:r>
      <w:r w:rsidR="00677BE1">
        <w:t xml:space="preserve">COPIESAS </w:t>
      </w:r>
      <w:r>
        <w:t>a jugé préférable de partir du bénéfice comptable, plus favorable aux salariés.</w:t>
      </w:r>
    </w:p>
    <w:p w:rsidR="00DE5825" w:rsidRDefault="00DE5825" w:rsidP="00DE5825">
      <w:pPr>
        <w:jc w:val="both"/>
      </w:pPr>
      <w:r>
        <w:t>En effet, en 2015,</w:t>
      </w:r>
      <w:r w:rsidR="007D3928" w:rsidRPr="007D3928">
        <w:t xml:space="preserve"> </w:t>
      </w:r>
      <w:r w:rsidR="007D3928">
        <w:t>parmi les entreprises d’au moins 50 salariés,</w:t>
      </w:r>
      <w:r>
        <w:t xml:space="preserve"> la part d’entreprises ayant un bénéfice </w:t>
      </w:r>
      <w:r w:rsidRPr="00F0270F">
        <w:rPr>
          <w:u w:val="single"/>
        </w:rPr>
        <w:t>comptable</w:t>
      </w:r>
      <w:r>
        <w:t xml:space="preserve"> négatif ou nul est de </w:t>
      </w:r>
      <w:r w:rsidR="007D3928">
        <w:t xml:space="preserve">seize </w:t>
      </w:r>
      <w:r>
        <w:t xml:space="preserve">points inférieure à la part d’entreprises ayant un bénéfice </w:t>
      </w:r>
      <w:r w:rsidRPr="00F0270F">
        <w:rPr>
          <w:u w:val="single"/>
        </w:rPr>
        <w:t>fiscal</w:t>
      </w:r>
      <w:r>
        <w:t xml:space="preserve"> négatif ou nul (respectivement 2</w:t>
      </w:r>
      <w:r w:rsidR="007D3928">
        <w:t>1</w:t>
      </w:r>
      <w:r>
        <w:t> % et 3</w:t>
      </w:r>
      <w:r w:rsidR="007D3928">
        <w:t>6</w:t>
      </w:r>
      <w:r>
        <w:t> %).. Selon le secteur d’activité, la part d’entreprises ayant un bénéfice négatif ou nul est entre 1,</w:t>
      </w:r>
      <w:r w:rsidR="000212BA">
        <w:t>3</w:t>
      </w:r>
      <w:r>
        <w:t xml:space="preserve"> et 3,0 fois inférieure lorsqu’on prend le bénéfice comptable plutôt que le bénéfice fiscal. </w:t>
      </w:r>
    </w:p>
    <w:p w:rsidR="00DE5825" w:rsidRDefault="000212BA" w:rsidP="00DE5825">
      <w:pPr>
        <w:jc w:val="both"/>
      </w:pPr>
      <w:r>
        <w:t>Trois des quatre</w:t>
      </w:r>
      <w:r w:rsidR="00DE5825" w:rsidRPr="00B1364C">
        <w:t xml:space="preserve"> formules basées sur le bénéfice comptable entraînent, par rapport à la situation actuelle, une augmentation du montant total de la participation versée par les entreprises de 50 salariés ou plus (entre + </w:t>
      </w:r>
      <w:r>
        <w:t>1</w:t>
      </w:r>
      <w:r w:rsidR="00DE5825" w:rsidRPr="00B1364C">
        <w:t>,</w:t>
      </w:r>
      <w:r>
        <w:t>3</w:t>
      </w:r>
      <w:r w:rsidR="00DE5825" w:rsidRPr="00B1364C">
        <w:t xml:space="preserve"> et + </w:t>
      </w:r>
      <w:r>
        <w:t>8,2</w:t>
      </w:r>
      <w:r w:rsidR="00DE5825" w:rsidRPr="00B1364C">
        <w:t xml:space="preserve"> Md€ </w:t>
      </w:r>
      <w:r w:rsidR="00DE5825">
        <w:t xml:space="preserve">selon les </w:t>
      </w:r>
      <w:r>
        <w:t>formules 2 à 4</w:t>
      </w:r>
      <w:r w:rsidR="00DE5825">
        <w:t>).</w:t>
      </w:r>
      <w:r>
        <w:t xml:space="preserve"> En revanche, la formule 1 (5%*BC) entraîne une diminution de - 2,3 Md€ de ce montant.</w:t>
      </w:r>
    </w:p>
    <w:p w:rsidR="00DE5825" w:rsidRDefault="00DE5825" w:rsidP="00DE5825">
      <w:pPr>
        <w:jc w:val="both"/>
      </w:pPr>
      <w:r w:rsidRPr="00B1364C">
        <w:t>Dans le cas des formules (</w:t>
      </w:r>
      <w:r w:rsidR="000212BA">
        <w:t xml:space="preserve">2 </w:t>
      </w:r>
      <w:r>
        <w:t>à 4</w:t>
      </w:r>
      <w:r w:rsidRPr="00B1364C">
        <w:t>), les montants totaux de participation versée augmentent le plus dans les 30</w:t>
      </w:r>
      <w:r>
        <w:t> </w:t>
      </w:r>
      <w:r w:rsidRPr="00B1364C">
        <w:t xml:space="preserve">% d’entreprises de 50 salariés ou plus proposant les rémunérations annuelles moyennes les plus élevées : les montants sont entre </w:t>
      </w:r>
      <w:r w:rsidR="000212BA">
        <w:t>1,3</w:t>
      </w:r>
      <w:r w:rsidRPr="00B1364C">
        <w:t xml:space="preserve"> et </w:t>
      </w:r>
      <w:r w:rsidR="000212BA">
        <w:t>2,7</w:t>
      </w:r>
      <w:r w:rsidRPr="00B1364C">
        <w:t xml:space="preserve"> fois supérieurs aux montants actuellement déclarés </w:t>
      </w:r>
      <w:r>
        <w:t>selon</w:t>
      </w:r>
      <w:r w:rsidRPr="00B1364C">
        <w:t xml:space="preserve"> la simulation considérée. Cependant, la part de ces entreprises versant de la participation augmente moins fortement que les entreprises versant des salaires plus modestes.</w:t>
      </w:r>
    </w:p>
    <w:p w:rsidR="00DE5825" w:rsidRDefault="00DE5825" w:rsidP="00DE5825">
      <w:pPr>
        <w:jc w:val="both"/>
      </w:pPr>
      <w:r>
        <w:t xml:space="preserve">Le remplacement du bénéfice fiscal par le bénéfice comptable est privilégié par les membres du </w:t>
      </w:r>
      <w:r w:rsidR="009014A4">
        <w:t>COPIESAS</w:t>
      </w:r>
      <w:r>
        <w:t xml:space="preserve">. La réforme radicale destinée à déterminer le montant de la RSP comme un pourcentage </w:t>
      </w:r>
      <w:r>
        <w:lastRenderedPageBreak/>
        <w:t xml:space="preserve">du bénéfice comptable présente </w:t>
      </w:r>
      <w:r w:rsidR="00162970">
        <w:t>aux yeux</w:t>
      </w:r>
      <w:r>
        <w:t xml:space="preserve"> d’une majorité de membres du </w:t>
      </w:r>
      <w:r w:rsidR="00162970">
        <w:t xml:space="preserve">COPIESAS </w:t>
      </w:r>
      <w:r>
        <w:t xml:space="preserve">l’avantage de la simplicité : plus intuitif, plus facile à présenter aux salariés, ce mode de calcul permet en outre d’augmenter le nombre des bénéficiaires réels de la participation. </w:t>
      </w:r>
    </w:p>
    <w:p w:rsidR="00DE5825" w:rsidRPr="003A074F" w:rsidRDefault="00DE5825" w:rsidP="00DE5825">
      <w:pPr>
        <w:suppressAutoHyphens/>
        <w:autoSpaceDE w:val="0"/>
        <w:spacing w:after="0" w:line="240" w:lineRule="auto"/>
        <w:jc w:val="center"/>
        <w:rPr>
          <w:rFonts w:ascii="Calibri" w:eastAsia="Times New Roman" w:hAnsi="Calibri" w:cs="Calibri"/>
          <w:color w:val="000000"/>
          <w:lang w:eastAsia="zh-CN"/>
        </w:rPr>
      </w:pPr>
      <w:r w:rsidRPr="003A074F">
        <w:rPr>
          <w:rFonts w:ascii="Arial" w:eastAsia="Times New Roman" w:hAnsi="Arial" w:cs="Arial"/>
          <w:b/>
          <w:bCs/>
          <w:sz w:val="20"/>
          <w:szCs w:val="20"/>
          <w:lang w:eastAsia="zh-CN"/>
        </w:rPr>
        <w:t xml:space="preserve">Distribution de l’écart entre le montant estimé et le montant actuel selon les formules de calcul </w:t>
      </w:r>
      <w:r>
        <w:rPr>
          <w:rFonts w:ascii="Arial" w:eastAsia="Times New Roman" w:hAnsi="Arial" w:cs="Arial"/>
          <w:b/>
          <w:bCs/>
          <w:sz w:val="20"/>
          <w:szCs w:val="20"/>
          <w:lang w:eastAsia="zh-CN"/>
        </w:rPr>
        <w:t>basées sur un pourcentage du résultat comptable</w:t>
      </w:r>
    </w:p>
    <w:tbl>
      <w:tblPr>
        <w:tblW w:w="9424" w:type="dxa"/>
        <w:jc w:val="center"/>
        <w:tblInd w:w="70" w:type="dxa"/>
        <w:tblLayout w:type="fixed"/>
        <w:tblCellMar>
          <w:left w:w="70" w:type="dxa"/>
          <w:right w:w="70" w:type="dxa"/>
        </w:tblCellMar>
        <w:tblLook w:val="0000" w:firstRow="0" w:lastRow="0" w:firstColumn="0" w:lastColumn="0" w:noHBand="0" w:noVBand="0"/>
      </w:tblPr>
      <w:tblGrid>
        <w:gridCol w:w="2631"/>
        <w:gridCol w:w="1599"/>
        <w:gridCol w:w="1073"/>
        <w:gridCol w:w="1134"/>
        <w:gridCol w:w="992"/>
        <w:gridCol w:w="992"/>
        <w:gridCol w:w="1003"/>
      </w:tblGrid>
      <w:tr w:rsidR="00DE5825" w:rsidRPr="003A074F" w:rsidTr="00916EA3">
        <w:trPr>
          <w:cantSplit/>
          <w:trHeight w:val="300"/>
          <w:jc w:val="center"/>
        </w:trPr>
        <w:tc>
          <w:tcPr>
            <w:tcW w:w="2631" w:type="dxa"/>
            <w:vMerge w:val="restart"/>
            <w:tcBorders>
              <w:top w:val="single" w:sz="4" w:space="0" w:color="000000"/>
              <w:left w:val="single" w:sz="4" w:space="0" w:color="000000"/>
              <w:bottom w:val="single" w:sz="4" w:space="0" w:color="000000"/>
            </w:tcBorders>
            <w:shd w:val="clear" w:color="auto" w:fill="auto"/>
            <w:vAlign w:val="center"/>
          </w:tcPr>
          <w:p w:rsidR="00DE5825" w:rsidRPr="00677BE1" w:rsidRDefault="00DE5825" w:rsidP="00916EA3">
            <w:pPr>
              <w:suppressAutoHyphens/>
              <w:spacing w:after="0" w:line="240" w:lineRule="auto"/>
              <w:jc w:val="center"/>
              <w:rPr>
                <w:rFonts w:ascii="Calibri" w:eastAsia="Times New Roman" w:hAnsi="Calibri" w:cs="Calibri"/>
                <w:b/>
                <w:color w:val="000000"/>
                <w:lang w:eastAsia="zh-CN"/>
              </w:rPr>
            </w:pPr>
            <w:r w:rsidRPr="00677BE1">
              <w:rPr>
                <w:rFonts w:ascii="Calibri" w:eastAsia="Times New Roman" w:hAnsi="Calibri" w:cs="Calibri"/>
                <w:b/>
                <w:color w:val="000000"/>
                <w:lang w:eastAsia="zh-CN"/>
              </w:rPr>
              <w:t>Formule de calcul de la participation</w:t>
            </w:r>
          </w:p>
        </w:tc>
        <w:tc>
          <w:tcPr>
            <w:tcW w:w="1599" w:type="dxa"/>
            <w:vMerge w:val="restart"/>
            <w:tcBorders>
              <w:top w:val="single" w:sz="4" w:space="0" w:color="000000"/>
              <w:left w:val="single" w:sz="4" w:space="0" w:color="000000"/>
              <w:bottom w:val="single" w:sz="4" w:space="0" w:color="000000"/>
            </w:tcBorders>
            <w:shd w:val="clear" w:color="auto" w:fill="auto"/>
          </w:tcPr>
          <w:p w:rsidR="00DE5825" w:rsidRPr="00677BE1" w:rsidRDefault="00DE5825" w:rsidP="00916EA3">
            <w:pPr>
              <w:suppressAutoHyphens/>
              <w:spacing w:after="0" w:line="240" w:lineRule="auto"/>
              <w:jc w:val="center"/>
              <w:rPr>
                <w:rFonts w:ascii="Calibri" w:eastAsia="Times New Roman" w:hAnsi="Calibri" w:cs="Calibri"/>
                <w:b/>
                <w:color w:val="000000"/>
                <w:lang w:eastAsia="zh-CN"/>
              </w:rPr>
            </w:pPr>
            <w:r w:rsidRPr="00677BE1">
              <w:rPr>
                <w:rFonts w:ascii="Calibri" w:eastAsia="Times New Roman" w:hAnsi="Calibri" w:cs="Calibri"/>
                <w:b/>
                <w:color w:val="000000"/>
                <w:lang w:eastAsia="zh-CN"/>
              </w:rPr>
              <w:t>Ecart de montant rapporté à la masse salariale (%)</w:t>
            </w:r>
          </w:p>
        </w:tc>
        <w:tc>
          <w:tcPr>
            <w:tcW w:w="51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E5825" w:rsidRPr="00677BE1" w:rsidRDefault="00DE5825" w:rsidP="00916EA3">
            <w:pPr>
              <w:suppressAutoHyphens/>
              <w:spacing w:after="0" w:line="240" w:lineRule="auto"/>
              <w:jc w:val="center"/>
              <w:rPr>
                <w:rFonts w:ascii="Calibri" w:eastAsia="Times New Roman" w:hAnsi="Calibri" w:cs="Calibri"/>
                <w:b/>
                <w:color w:val="000000"/>
                <w:lang w:eastAsia="zh-CN"/>
              </w:rPr>
            </w:pPr>
            <w:r w:rsidRPr="00677BE1">
              <w:rPr>
                <w:rFonts w:ascii="Calibri" w:eastAsia="Times New Roman" w:hAnsi="Calibri" w:cs="Calibri"/>
                <w:b/>
                <w:color w:val="000000"/>
                <w:lang w:eastAsia="zh-CN"/>
              </w:rPr>
              <w:t xml:space="preserve">Distribution de l'écart de montants </w:t>
            </w:r>
          </w:p>
          <w:p w:rsidR="00DE5825" w:rsidRPr="00677BE1" w:rsidRDefault="00DE5825" w:rsidP="00916EA3">
            <w:pPr>
              <w:suppressAutoHyphens/>
              <w:spacing w:after="0" w:line="240" w:lineRule="auto"/>
              <w:jc w:val="center"/>
              <w:rPr>
                <w:rFonts w:ascii="Times New Roman" w:eastAsia="Times New Roman" w:hAnsi="Times New Roman" w:cs="Times New Roman"/>
                <w:b/>
                <w:sz w:val="24"/>
                <w:szCs w:val="24"/>
                <w:lang w:eastAsia="zh-CN"/>
              </w:rPr>
            </w:pPr>
            <w:r w:rsidRPr="00677BE1">
              <w:rPr>
                <w:rFonts w:ascii="Calibri" w:eastAsia="Times New Roman" w:hAnsi="Calibri" w:cs="Calibri"/>
                <w:b/>
                <w:color w:val="000000"/>
                <w:lang w:eastAsia="zh-CN"/>
              </w:rPr>
              <w:t>(en points de masse salariale)</w:t>
            </w:r>
          </w:p>
        </w:tc>
      </w:tr>
      <w:tr w:rsidR="00DE5825" w:rsidRPr="003A074F" w:rsidTr="00916EA3">
        <w:trPr>
          <w:cantSplit/>
          <w:trHeight w:val="300"/>
          <w:jc w:val="center"/>
        </w:trPr>
        <w:tc>
          <w:tcPr>
            <w:tcW w:w="2631" w:type="dxa"/>
            <w:vMerge/>
            <w:tcBorders>
              <w:top w:val="single" w:sz="4" w:space="0" w:color="000000"/>
              <w:left w:val="single" w:sz="4" w:space="0" w:color="000000"/>
              <w:bottom w:val="single" w:sz="4" w:space="0" w:color="000000"/>
            </w:tcBorders>
            <w:shd w:val="clear" w:color="auto" w:fill="auto"/>
            <w:vAlign w:val="center"/>
          </w:tcPr>
          <w:p w:rsidR="00DE5825" w:rsidRPr="00677BE1" w:rsidRDefault="00DE5825" w:rsidP="00916EA3">
            <w:pPr>
              <w:suppressAutoHyphens/>
              <w:snapToGrid w:val="0"/>
              <w:spacing w:after="0" w:line="240" w:lineRule="auto"/>
              <w:rPr>
                <w:rFonts w:ascii="Calibri" w:eastAsia="Times New Roman" w:hAnsi="Calibri" w:cs="Calibri"/>
                <w:b/>
                <w:color w:val="000000"/>
                <w:lang w:eastAsia="zh-CN"/>
              </w:rPr>
            </w:pPr>
          </w:p>
        </w:tc>
        <w:tc>
          <w:tcPr>
            <w:tcW w:w="1599" w:type="dxa"/>
            <w:vMerge/>
            <w:tcBorders>
              <w:left w:val="single" w:sz="4" w:space="0" w:color="000000"/>
              <w:bottom w:val="single" w:sz="4" w:space="0" w:color="000000"/>
            </w:tcBorders>
            <w:shd w:val="clear" w:color="auto" w:fill="auto"/>
          </w:tcPr>
          <w:p w:rsidR="00DE5825" w:rsidRPr="00677BE1" w:rsidRDefault="00DE5825" w:rsidP="00916EA3">
            <w:pPr>
              <w:suppressAutoHyphens/>
              <w:snapToGrid w:val="0"/>
              <w:spacing w:after="0" w:line="240" w:lineRule="auto"/>
              <w:jc w:val="center"/>
              <w:rPr>
                <w:rFonts w:ascii="Calibri" w:eastAsia="Times New Roman" w:hAnsi="Calibri" w:cs="Calibri"/>
                <w:b/>
                <w:color w:val="000000"/>
                <w:lang w:eastAsia="zh-CN"/>
              </w:rPr>
            </w:pPr>
          </w:p>
        </w:tc>
        <w:tc>
          <w:tcPr>
            <w:tcW w:w="1073" w:type="dxa"/>
            <w:tcBorders>
              <w:top w:val="none" w:sz="0" w:space="0" w:color="000000"/>
              <w:left w:val="single" w:sz="4" w:space="0" w:color="000000"/>
              <w:bottom w:val="single" w:sz="4" w:space="0" w:color="000000"/>
            </w:tcBorders>
            <w:shd w:val="clear" w:color="auto" w:fill="auto"/>
            <w:vAlign w:val="center"/>
          </w:tcPr>
          <w:p w:rsidR="00DE5825" w:rsidRPr="00677BE1" w:rsidRDefault="00DE5825" w:rsidP="00916EA3">
            <w:pPr>
              <w:suppressAutoHyphens/>
              <w:spacing w:after="0" w:line="240" w:lineRule="auto"/>
              <w:jc w:val="center"/>
              <w:rPr>
                <w:rFonts w:ascii="Calibri" w:eastAsia="Times New Roman" w:hAnsi="Calibri" w:cs="Calibri"/>
                <w:b/>
                <w:color w:val="000000"/>
                <w:lang w:eastAsia="zh-CN"/>
              </w:rPr>
            </w:pPr>
            <w:r w:rsidRPr="00677BE1">
              <w:rPr>
                <w:rFonts w:ascii="Calibri" w:eastAsia="Times New Roman" w:hAnsi="Calibri" w:cs="Calibri"/>
                <w:b/>
                <w:color w:val="000000"/>
                <w:lang w:eastAsia="zh-CN"/>
              </w:rPr>
              <w:t>P10</w:t>
            </w:r>
          </w:p>
        </w:tc>
        <w:tc>
          <w:tcPr>
            <w:tcW w:w="1134" w:type="dxa"/>
            <w:tcBorders>
              <w:top w:val="none" w:sz="0" w:space="0" w:color="000000"/>
              <w:left w:val="single" w:sz="4" w:space="0" w:color="000000"/>
              <w:bottom w:val="single" w:sz="4" w:space="0" w:color="000000"/>
            </w:tcBorders>
            <w:shd w:val="clear" w:color="auto" w:fill="auto"/>
            <w:vAlign w:val="center"/>
          </w:tcPr>
          <w:p w:rsidR="00DE5825" w:rsidRPr="00677BE1" w:rsidRDefault="00DE5825" w:rsidP="00916EA3">
            <w:pPr>
              <w:suppressAutoHyphens/>
              <w:spacing w:after="0" w:line="240" w:lineRule="auto"/>
              <w:jc w:val="center"/>
              <w:rPr>
                <w:rFonts w:ascii="Calibri" w:eastAsia="Times New Roman" w:hAnsi="Calibri" w:cs="Calibri"/>
                <w:b/>
                <w:color w:val="000000"/>
                <w:lang w:eastAsia="zh-CN"/>
              </w:rPr>
            </w:pPr>
            <w:r w:rsidRPr="00677BE1">
              <w:rPr>
                <w:rFonts w:ascii="Calibri" w:eastAsia="Times New Roman" w:hAnsi="Calibri" w:cs="Calibri"/>
                <w:b/>
                <w:color w:val="000000"/>
                <w:lang w:eastAsia="zh-CN"/>
              </w:rPr>
              <w:t>P25</w:t>
            </w:r>
          </w:p>
        </w:tc>
        <w:tc>
          <w:tcPr>
            <w:tcW w:w="992" w:type="dxa"/>
            <w:tcBorders>
              <w:top w:val="none" w:sz="0" w:space="0" w:color="000000"/>
              <w:left w:val="single" w:sz="4" w:space="0" w:color="000000"/>
              <w:bottom w:val="single" w:sz="4" w:space="0" w:color="000000"/>
            </w:tcBorders>
            <w:shd w:val="clear" w:color="auto" w:fill="auto"/>
            <w:vAlign w:val="center"/>
          </w:tcPr>
          <w:p w:rsidR="00DE5825" w:rsidRPr="00677BE1" w:rsidRDefault="00DE5825" w:rsidP="00916EA3">
            <w:pPr>
              <w:suppressAutoHyphens/>
              <w:spacing w:after="0" w:line="240" w:lineRule="auto"/>
              <w:jc w:val="center"/>
              <w:rPr>
                <w:rFonts w:ascii="Calibri" w:eastAsia="Times New Roman" w:hAnsi="Calibri" w:cs="Calibri"/>
                <w:b/>
                <w:color w:val="000000"/>
                <w:lang w:eastAsia="zh-CN"/>
              </w:rPr>
            </w:pPr>
            <w:r w:rsidRPr="00677BE1">
              <w:rPr>
                <w:rFonts w:ascii="Calibri" w:eastAsia="Times New Roman" w:hAnsi="Calibri" w:cs="Calibri"/>
                <w:b/>
                <w:color w:val="000000"/>
                <w:lang w:eastAsia="zh-CN"/>
              </w:rPr>
              <w:t>P50</w:t>
            </w:r>
          </w:p>
        </w:tc>
        <w:tc>
          <w:tcPr>
            <w:tcW w:w="992" w:type="dxa"/>
            <w:tcBorders>
              <w:top w:val="none" w:sz="0" w:space="0" w:color="000000"/>
              <w:left w:val="single" w:sz="4" w:space="0" w:color="000000"/>
              <w:bottom w:val="single" w:sz="4" w:space="0" w:color="000000"/>
            </w:tcBorders>
            <w:shd w:val="clear" w:color="auto" w:fill="auto"/>
            <w:vAlign w:val="center"/>
          </w:tcPr>
          <w:p w:rsidR="00DE5825" w:rsidRPr="00677BE1" w:rsidRDefault="00DE5825" w:rsidP="00916EA3">
            <w:pPr>
              <w:suppressAutoHyphens/>
              <w:spacing w:after="0" w:line="240" w:lineRule="auto"/>
              <w:jc w:val="center"/>
              <w:rPr>
                <w:rFonts w:ascii="Calibri" w:eastAsia="Times New Roman" w:hAnsi="Calibri" w:cs="Calibri"/>
                <w:b/>
                <w:color w:val="000000"/>
                <w:lang w:eastAsia="zh-CN"/>
              </w:rPr>
            </w:pPr>
            <w:r w:rsidRPr="00677BE1">
              <w:rPr>
                <w:rFonts w:ascii="Calibri" w:eastAsia="Times New Roman" w:hAnsi="Calibri" w:cs="Calibri"/>
                <w:b/>
                <w:color w:val="000000"/>
                <w:lang w:eastAsia="zh-CN"/>
              </w:rPr>
              <w:t>P75</w:t>
            </w:r>
          </w:p>
        </w:tc>
        <w:tc>
          <w:tcPr>
            <w:tcW w:w="1003" w:type="dxa"/>
            <w:tcBorders>
              <w:top w:val="none" w:sz="0" w:space="0" w:color="000000"/>
              <w:left w:val="single" w:sz="4" w:space="0" w:color="000000"/>
              <w:bottom w:val="single" w:sz="4" w:space="0" w:color="000000"/>
              <w:right w:val="single" w:sz="4" w:space="0" w:color="000000"/>
            </w:tcBorders>
            <w:shd w:val="clear" w:color="auto" w:fill="auto"/>
            <w:vAlign w:val="center"/>
          </w:tcPr>
          <w:p w:rsidR="00DE5825" w:rsidRPr="00677BE1" w:rsidRDefault="00DE5825" w:rsidP="00916EA3">
            <w:pPr>
              <w:suppressAutoHyphens/>
              <w:spacing w:after="0" w:line="240" w:lineRule="auto"/>
              <w:jc w:val="center"/>
              <w:rPr>
                <w:rFonts w:ascii="Times New Roman" w:eastAsia="Times New Roman" w:hAnsi="Times New Roman" w:cs="Times New Roman"/>
                <w:b/>
                <w:sz w:val="24"/>
                <w:szCs w:val="24"/>
                <w:lang w:eastAsia="zh-CN"/>
              </w:rPr>
            </w:pPr>
            <w:r w:rsidRPr="00677BE1">
              <w:rPr>
                <w:rFonts w:ascii="Calibri" w:eastAsia="Times New Roman" w:hAnsi="Calibri" w:cs="Calibri"/>
                <w:b/>
                <w:color w:val="000000"/>
                <w:lang w:eastAsia="zh-CN"/>
              </w:rPr>
              <w:t>P90</w:t>
            </w:r>
          </w:p>
        </w:tc>
      </w:tr>
      <w:tr w:rsidR="00DE5825" w:rsidRPr="003A074F" w:rsidTr="00916EA3">
        <w:trPr>
          <w:trHeight w:val="300"/>
          <w:jc w:val="center"/>
        </w:trPr>
        <w:tc>
          <w:tcPr>
            <w:tcW w:w="2631" w:type="dxa"/>
            <w:tcBorders>
              <w:top w:val="none" w:sz="0" w:space="0" w:color="000000"/>
              <w:left w:val="single" w:sz="4" w:space="0" w:color="000000"/>
              <w:bottom w:val="none" w:sz="0" w:space="0" w:color="000000"/>
            </w:tcBorders>
            <w:shd w:val="clear" w:color="auto" w:fill="auto"/>
            <w:vAlign w:val="center"/>
          </w:tcPr>
          <w:p w:rsidR="00DE5825" w:rsidRPr="003A074F" w:rsidRDefault="00DE5825" w:rsidP="00916EA3">
            <w:pPr>
              <w:numPr>
                <w:ilvl w:val="0"/>
                <w:numId w:val="6"/>
              </w:numPr>
              <w:suppressAutoHyphens/>
              <w:spacing w:after="0" w:line="240" w:lineRule="auto"/>
              <w:rPr>
                <w:rFonts w:ascii="Calibri" w:eastAsia="Times New Roman" w:hAnsi="Calibri" w:cs="Calibri"/>
                <w:color w:val="000000"/>
                <w:lang w:eastAsia="zh-CN"/>
              </w:rPr>
            </w:pPr>
            <w:r w:rsidRPr="003A074F">
              <w:rPr>
                <w:rFonts w:ascii="Calibri" w:eastAsia="Times New Roman" w:hAnsi="Calibri" w:cs="Calibri"/>
                <w:color w:val="000000"/>
                <w:lang w:eastAsia="zh-CN"/>
              </w:rPr>
              <w:t>5%*BC</w:t>
            </w:r>
          </w:p>
        </w:tc>
        <w:tc>
          <w:tcPr>
            <w:tcW w:w="1599" w:type="dxa"/>
            <w:tcBorders>
              <w:top w:val="none" w:sz="0" w:space="0" w:color="000000"/>
              <w:left w:val="single" w:sz="4" w:space="0" w:color="000000"/>
              <w:bottom w:val="none" w:sz="0" w:space="0" w:color="000000"/>
            </w:tcBorders>
            <w:shd w:val="clear" w:color="auto" w:fill="auto"/>
          </w:tcPr>
          <w:p w:rsidR="00DE5825" w:rsidRPr="003A074F" w:rsidRDefault="0009477A" w:rsidP="0009477A">
            <w:pPr>
              <w:suppressAutoHyphens/>
              <w:spacing w:after="0" w:line="240" w:lineRule="auto"/>
              <w:jc w:val="center"/>
              <w:rPr>
                <w:rFonts w:ascii="Calibri" w:eastAsia="Times New Roman" w:hAnsi="Calibri" w:cs="Calibri"/>
                <w:color w:val="000000"/>
                <w:lang w:eastAsia="zh-CN"/>
              </w:rPr>
            </w:pPr>
            <w:r>
              <w:rPr>
                <w:rFonts w:ascii="Calibri" w:eastAsia="Times New Roman" w:hAnsi="Calibri" w:cs="Calibri"/>
                <w:color w:val="000000"/>
                <w:lang w:eastAsia="zh-CN"/>
              </w:rPr>
              <w:t>-</w:t>
            </w:r>
            <w:r w:rsidR="00DE5825" w:rsidRPr="003A074F">
              <w:rPr>
                <w:rFonts w:ascii="Calibri" w:eastAsia="Times New Roman" w:hAnsi="Calibri" w:cs="Calibri"/>
                <w:color w:val="000000"/>
                <w:lang w:eastAsia="zh-CN"/>
              </w:rPr>
              <w:t>0,</w:t>
            </w:r>
            <w:r>
              <w:rPr>
                <w:rFonts w:ascii="Calibri" w:eastAsia="Times New Roman" w:hAnsi="Calibri" w:cs="Calibri"/>
                <w:color w:val="000000"/>
                <w:lang w:eastAsia="zh-CN"/>
              </w:rPr>
              <w:t>8</w:t>
            </w:r>
          </w:p>
        </w:tc>
        <w:tc>
          <w:tcPr>
            <w:tcW w:w="1073" w:type="dxa"/>
            <w:tcBorders>
              <w:top w:val="none" w:sz="0" w:space="0" w:color="000000"/>
              <w:left w:val="single" w:sz="4" w:space="0" w:color="000000"/>
              <w:bottom w:val="none" w:sz="0" w:space="0" w:color="000000"/>
            </w:tcBorders>
            <w:shd w:val="clear" w:color="auto" w:fill="auto"/>
            <w:vAlign w:val="center"/>
          </w:tcPr>
          <w:p w:rsidR="00DE5825" w:rsidRPr="003A074F" w:rsidRDefault="00DE5825" w:rsidP="0009477A">
            <w:pPr>
              <w:suppressAutoHyphens/>
              <w:spacing w:after="0" w:line="240" w:lineRule="auto"/>
              <w:jc w:val="center"/>
              <w:rPr>
                <w:rFonts w:ascii="Calibri" w:eastAsia="Times New Roman" w:hAnsi="Calibri" w:cs="Calibri"/>
                <w:color w:val="000000"/>
                <w:lang w:eastAsia="zh-CN"/>
              </w:rPr>
            </w:pPr>
            <w:r w:rsidRPr="003A074F">
              <w:rPr>
                <w:rFonts w:ascii="Calibri" w:eastAsia="Times New Roman" w:hAnsi="Calibri" w:cs="Calibri"/>
                <w:color w:val="000000"/>
                <w:lang w:eastAsia="zh-CN"/>
              </w:rPr>
              <w:t>-3,</w:t>
            </w:r>
            <w:r w:rsidR="0009477A">
              <w:rPr>
                <w:rFonts w:ascii="Calibri" w:eastAsia="Times New Roman" w:hAnsi="Calibri" w:cs="Calibri"/>
                <w:color w:val="000000"/>
                <w:lang w:eastAsia="zh-CN"/>
              </w:rPr>
              <w:t>9</w:t>
            </w:r>
          </w:p>
        </w:tc>
        <w:tc>
          <w:tcPr>
            <w:tcW w:w="1134" w:type="dxa"/>
            <w:tcBorders>
              <w:top w:val="none" w:sz="0" w:space="0" w:color="000000"/>
              <w:left w:val="none" w:sz="0" w:space="0" w:color="000000"/>
              <w:bottom w:val="none" w:sz="0" w:space="0" w:color="000000"/>
            </w:tcBorders>
            <w:shd w:val="clear" w:color="auto" w:fill="auto"/>
            <w:vAlign w:val="center"/>
          </w:tcPr>
          <w:p w:rsidR="00DE5825" w:rsidRPr="003A074F" w:rsidRDefault="00DE5825" w:rsidP="0009477A">
            <w:pPr>
              <w:suppressAutoHyphens/>
              <w:spacing w:after="0" w:line="240" w:lineRule="auto"/>
              <w:jc w:val="center"/>
              <w:rPr>
                <w:rFonts w:ascii="Calibri" w:eastAsia="Times New Roman" w:hAnsi="Calibri" w:cs="Calibri"/>
                <w:color w:val="000000"/>
                <w:lang w:eastAsia="zh-CN"/>
              </w:rPr>
            </w:pPr>
            <w:r w:rsidRPr="003A074F">
              <w:rPr>
                <w:rFonts w:ascii="Calibri" w:eastAsia="Times New Roman" w:hAnsi="Calibri" w:cs="Calibri"/>
                <w:color w:val="000000"/>
                <w:lang w:eastAsia="zh-CN"/>
              </w:rPr>
              <w:t>-1,</w:t>
            </w:r>
            <w:r w:rsidR="0009477A">
              <w:rPr>
                <w:rFonts w:ascii="Calibri" w:eastAsia="Times New Roman" w:hAnsi="Calibri" w:cs="Calibri"/>
                <w:color w:val="000000"/>
                <w:lang w:eastAsia="zh-CN"/>
              </w:rPr>
              <w:t>1</w:t>
            </w:r>
          </w:p>
        </w:tc>
        <w:tc>
          <w:tcPr>
            <w:tcW w:w="992" w:type="dxa"/>
            <w:tcBorders>
              <w:top w:val="none" w:sz="0" w:space="0" w:color="000000"/>
              <w:left w:val="none" w:sz="0" w:space="0" w:color="000000"/>
              <w:bottom w:val="none" w:sz="0" w:space="0" w:color="000000"/>
            </w:tcBorders>
            <w:shd w:val="clear" w:color="auto" w:fill="auto"/>
            <w:vAlign w:val="center"/>
          </w:tcPr>
          <w:p w:rsidR="00DE5825" w:rsidRPr="003A074F" w:rsidRDefault="00DE5825" w:rsidP="00916EA3">
            <w:pPr>
              <w:suppressAutoHyphens/>
              <w:spacing w:after="0" w:line="240" w:lineRule="auto"/>
              <w:jc w:val="center"/>
              <w:rPr>
                <w:rFonts w:ascii="Calibri" w:eastAsia="Times New Roman" w:hAnsi="Calibri" w:cs="Calibri"/>
                <w:color w:val="000000"/>
                <w:lang w:eastAsia="zh-CN"/>
              </w:rPr>
            </w:pPr>
            <w:r w:rsidRPr="003A074F">
              <w:rPr>
                <w:rFonts w:ascii="Calibri" w:eastAsia="Times New Roman" w:hAnsi="Calibri" w:cs="Calibri"/>
                <w:color w:val="000000"/>
                <w:lang w:eastAsia="zh-CN"/>
              </w:rPr>
              <w:t>0,0</w:t>
            </w:r>
          </w:p>
        </w:tc>
        <w:tc>
          <w:tcPr>
            <w:tcW w:w="992" w:type="dxa"/>
            <w:tcBorders>
              <w:top w:val="none" w:sz="0" w:space="0" w:color="000000"/>
              <w:left w:val="none" w:sz="0" w:space="0" w:color="000000"/>
              <w:bottom w:val="none" w:sz="0" w:space="0" w:color="000000"/>
            </w:tcBorders>
            <w:shd w:val="clear" w:color="auto" w:fill="auto"/>
            <w:vAlign w:val="center"/>
          </w:tcPr>
          <w:p w:rsidR="00DE5825" w:rsidRPr="003A074F" w:rsidRDefault="00DE5825" w:rsidP="0009477A">
            <w:pPr>
              <w:suppressAutoHyphens/>
              <w:spacing w:after="0" w:line="240" w:lineRule="auto"/>
              <w:jc w:val="center"/>
              <w:rPr>
                <w:rFonts w:ascii="Calibri" w:eastAsia="Times New Roman" w:hAnsi="Calibri" w:cs="Calibri"/>
                <w:color w:val="000000"/>
                <w:lang w:eastAsia="zh-CN"/>
              </w:rPr>
            </w:pPr>
            <w:r w:rsidRPr="003A074F">
              <w:rPr>
                <w:rFonts w:ascii="Calibri" w:eastAsia="Times New Roman" w:hAnsi="Calibri" w:cs="Calibri"/>
                <w:color w:val="000000"/>
                <w:lang w:eastAsia="zh-CN"/>
              </w:rPr>
              <w:t>0,</w:t>
            </w:r>
            <w:r w:rsidR="0009477A">
              <w:rPr>
                <w:rFonts w:ascii="Calibri" w:eastAsia="Times New Roman" w:hAnsi="Calibri" w:cs="Calibri"/>
                <w:color w:val="000000"/>
                <w:lang w:eastAsia="zh-CN"/>
              </w:rPr>
              <w:t>3</w:t>
            </w:r>
          </w:p>
        </w:tc>
        <w:tc>
          <w:tcPr>
            <w:tcW w:w="1003" w:type="dxa"/>
            <w:tcBorders>
              <w:top w:val="none" w:sz="0" w:space="0" w:color="000000"/>
              <w:left w:val="none" w:sz="0" w:space="0" w:color="000000"/>
              <w:bottom w:val="none" w:sz="0" w:space="0" w:color="000000"/>
              <w:right w:val="single" w:sz="4" w:space="0" w:color="000000"/>
            </w:tcBorders>
            <w:shd w:val="clear" w:color="auto" w:fill="auto"/>
            <w:vAlign w:val="center"/>
          </w:tcPr>
          <w:p w:rsidR="00DE5825" w:rsidRPr="003A074F" w:rsidRDefault="00DE5825" w:rsidP="0009477A">
            <w:pPr>
              <w:suppressAutoHyphens/>
              <w:spacing w:after="0" w:line="240" w:lineRule="auto"/>
              <w:jc w:val="center"/>
              <w:rPr>
                <w:rFonts w:ascii="Times New Roman" w:eastAsia="Times New Roman" w:hAnsi="Times New Roman" w:cs="Times New Roman"/>
                <w:sz w:val="24"/>
                <w:szCs w:val="24"/>
                <w:lang w:eastAsia="zh-CN"/>
              </w:rPr>
            </w:pPr>
            <w:r w:rsidRPr="003A074F">
              <w:rPr>
                <w:rFonts w:ascii="Calibri" w:eastAsia="Times New Roman" w:hAnsi="Calibri" w:cs="Calibri"/>
                <w:color w:val="000000"/>
                <w:lang w:eastAsia="zh-CN"/>
              </w:rPr>
              <w:t>1,</w:t>
            </w:r>
            <w:r w:rsidR="0009477A">
              <w:rPr>
                <w:rFonts w:ascii="Calibri" w:eastAsia="Times New Roman" w:hAnsi="Calibri" w:cs="Calibri"/>
                <w:color w:val="000000"/>
                <w:lang w:eastAsia="zh-CN"/>
              </w:rPr>
              <w:t>1</w:t>
            </w:r>
          </w:p>
        </w:tc>
      </w:tr>
      <w:tr w:rsidR="00DE5825" w:rsidRPr="003A074F" w:rsidTr="00916EA3">
        <w:trPr>
          <w:trHeight w:val="300"/>
          <w:jc w:val="center"/>
        </w:trPr>
        <w:tc>
          <w:tcPr>
            <w:tcW w:w="2631" w:type="dxa"/>
            <w:tcBorders>
              <w:top w:val="none" w:sz="0" w:space="0" w:color="000000"/>
              <w:left w:val="single" w:sz="4" w:space="0" w:color="000000"/>
              <w:bottom w:val="none" w:sz="0" w:space="0" w:color="000000"/>
            </w:tcBorders>
            <w:shd w:val="clear" w:color="auto" w:fill="auto"/>
            <w:vAlign w:val="center"/>
          </w:tcPr>
          <w:p w:rsidR="00DE5825" w:rsidRPr="00162970" w:rsidRDefault="00DE5825" w:rsidP="00916EA3">
            <w:pPr>
              <w:numPr>
                <w:ilvl w:val="0"/>
                <w:numId w:val="6"/>
              </w:numPr>
              <w:suppressAutoHyphens/>
              <w:spacing w:after="0" w:line="240" w:lineRule="auto"/>
              <w:rPr>
                <w:rFonts w:ascii="Calibri" w:eastAsia="Times New Roman" w:hAnsi="Calibri" w:cs="Calibri"/>
                <w:color w:val="000000"/>
                <w:lang w:eastAsia="zh-CN"/>
              </w:rPr>
            </w:pPr>
            <w:r w:rsidRPr="00162970">
              <w:rPr>
                <w:rFonts w:ascii="Calibri" w:eastAsia="Times New Roman" w:hAnsi="Calibri" w:cs="Calibri"/>
                <w:color w:val="000000"/>
                <w:lang w:eastAsia="zh-CN"/>
              </w:rPr>
              <w:t>10%*BC</w:t>
            </w:r>
          </w:p>
        </w:tc>
        <w:tc>
          <w:tcPr>
            <w:tcW w:w="1599" w:type="dxa"/>
            <w:tcBorders>
              <w:top w:val="none" w:sz="0" w:space="0" w:color="000000"/>
              <w:left w:val="single" w:sz="4" w:space="0" w:color="000000"/>
              <w:bottom w:val="none" w:sz="0" w:space="0" w:color="000000"/>
            </w:tcBorders>
            <w:shd w:val="clear" w:color="auto" w:fill="auto"/>
          </w:tcPr>
          <w:p w:rsidR="00DE5825" w:rsidRPr="009014A4" w:rsidRDefault="00155CD8" w:rsidP="00916EA3">
            <w:pPr>
              <w:suppressAutoHyphens/>
              <w:spacing w:after="0" w:line="240" w:lineRule="auto"/>
              <w:jc w:val="center"/>
              <w:rPr>
                <w:rFonts w:ascii="Calibri" w:eastAsia="Times New Roman" w:hAnsi="Calibri" w:cs="Calibri"/>
                <w:color w:val="000000"/>
                <w:lang w:eastAsia="zh-CN"/>
              </w:rPr>
            </w:pPr>
            <w:r w:rsidRPr="009014A4">
              <w:rPr>
                <w:rFonts w:ascii="Calibri" w:eastAsia="Times New Roman" w:hAnsi="Calibri" w:cs="Calibri"/>
                <w:color w:val="000000"/>
                <w:lang w:eastAsia="zh-CN"/>
              </w:rPr>
              <w:t>0,5</w:t>
            </w:r>
          </w:p>
        </w:tc>
        <w:tc>
          <w:tcPr>
            <w:tcW w:w="1073" w:type="dxa"/>
            <w:tcBorders>
              <w:top w:val="none" w:sz="0" w:space="0" w:color="000000"/>
              <w:left w:val="single" w:sz="4" w:space="0" w:color="000000"/>
              <w:bottom w:val="none" w:sz="0" w:space="0" w:color="000000"/>
            </w:tcBorders>
            <w:shd w:val="clear" w:color="auto" w:fill="auto"/>
            <w:vAlign w:val="center"/>
          </w:tcPr>
          <w:p w:rsidR="00DE5825" w:rsidRPr="009014A4" w:rsidRDefault="00DE5825" w:rsidP="00155CD8">
            <w:pPr>
              <w:suppressAutoHyphens/>
              <w:spacing w:after="0" w:line="240" w:lineRule="auto"/>
              <w:jc w:val="center"/>
              <w:rPr>
                <w:rFonts w:ascii="Calibri" w:eastAsia="Times New Roman" w:hAnsi="Calibri" w:cs="Calibri"/>
                <w:color w:val="000000"/>
                <w:lang w:eastAsia="zh-CN"/>
              </w:rPr>
            </w:pPr>
            <w:r w:rsidRPr="009014A4">
              <w:rPr>
                <w:rFonts w:ascii="Calibri" w:eastAsia="Times New Roman" w:hAnsi="Calibri" w:cs="Calibri"/>
                <w:color w:val="000000"/>
                <w:lang w:eastAsia="zh-CN"/>
              </w:rPr>
              <w:t>-2,</w:t>
            </w:r>
            <w:r w:rsidR="00155CD8" w:rsidRPr="009014A4">
              <w:rPr>
                <w:rFonts w:ascii="Calibri" w:eastAsia="Times New Roman" w:hAnsi="Calibri" w:cs="Calibri"/>
                <w:color w:val="000000"/>
                <w:lang w:eastAsia="zh-CN"/>
              </w:rPr>
              <w:t>2</w:t>
            </w:r>
          </w:p>
        </w:tc>
        <w:tc>
          <w:tcPr>
            <w:tcW w:w="1134" w:type="dxa"/>
            <w:tcBorders>
              <w:top w:val="none" w:sz="0" w:space="0" w:color="000000"/>
              <w:left w:val="none" w:sz="0" w:space="0" w:color="000000"/>
              <w:bottom w:val="none" w:sz="0" w:space="0" w:color="000000"/>
            </w:tcBorders>
            <w:shd w:val="clear" w:color="auto" w:fill="auto"/>
            <w:vAlign w:val="center"/>
          </w:tcPr>
          <w:p w:rsidR="00DE5825" w:rsidRPr="009014A4" w:rsidRDefault="00155CD8" w:rsidP="00155CD8">
            <w:pPr>
              <w:suppressAutoHyphens/>
              <w:spacing w:after="0" w:line="240" w:lineRule="auto"/>
              <w:jc w:val="center"/>
              <w:rPr>
                <w:rFonts w:ascii="Calibri" w:eastAsia="Times New Roman" w:hAnsi="Calibri" w:cs="Calibri"/>
                <w:color w:val="000000"/>
                <w:lang w:eastAsia="zh-CN"/>
              </w:rPr>
            </w:pPr>
            <w:r w:rsidRPr="009014A4">
              <w:rPr>
                <w:rFonts w:ascii="Calibri" w:eastAsia="Times New Roman" w:hAnsi="Calibri" w:cs="Calibri"/>
                <w:color w:val="000000"/>
                <w:lang w:eastAsia="zh-CN"/>
              </w:rPr>
              <w:t>-</w:t>
            </w:r>
            <w:r w:rsidR="00DE5825" w:rsidRPr="009014A4">
              <w:rPr>
                <w:rFonts w:ascii="Calibri" w:eastAsia="Times New Roman" w:hAnsi="Calibri" w:cs="Calibri"/>
                <w:color w:val="000000"/>
                <w:lang w:eastAsia="zh-CN"/>
              </w:rPr>
              <w:t>0,</w:t>
            </w:r>
            <w:r w:rsidRPr="009014A4">
              <w:rPr>
                <w:rFonts w:ascii="Calibri" w:eastAsia="Times New Roman" w:hAnsi="Calibri" w:cs="Calibri"/>
                <w:color w:val="000000"/>
                <w:lang w:eastAsia="zh-CN"/>
              </w:rPr>
              <w:t>1</w:t>
            </w:r>
          </w:p>
        </w:tc>
        <w:tc>
          <w:tcPr>
            <w:tcW w:w="992" w:type="dxa"/>
            <w:tcBorders>
              <w:top w:val="none" w:sz="0" w:space="0" w:color="000000"/>
              <w:left w:val="none" w:sz="0" w:space="0" w:color="000000"/>
              <w:bottom w:val="none" w:sz="0" w:space="0" w:color="000000"/>
            </w:tcBorders>
            <w:shd w:val="clear" w:color="auto" w:fill="auto"/>
            <w:vAlign w:val="center"/>
          </w:tcPr>
          <w:p w:rsidR="00DE5825" w:rsidRPr="009014A4" w:rsidRDefault="00DE5825" w:rsidP="00916EA3">
            <w:pPr>
              <w:suppressAutoHyphens/>
              <w:spacing w:after="0" w:line="240" w:lineRule="auto"/>
              <w:jc w:val="center"/>
              <w:rPr>
                <w:rFonts w:ascii="Calibri" w:eastAsia="Times New Roman" w:hAnsi="Calibri" w:cs="Calibri"/>
                <w:color w:val="000000"/>
                <w:lang w:eastAsia="zh-CN"/>
              </w:rPr>
            </w:pPr>
            <w:r w:rsidRPr="009014A4">
              <w:rPr>
                <w:rFonts w:ascii="Calibri" w:eastAsia="Times New Roman" w:hAnsi="Calibri" w:cs="Calibri"/>
                <w:color w:val="000000"/>
                <w:lang w:eastAsia="zh-CN"/>
              </w:rPr>
              <w:t>0,0</w:t>
            </w:r>
          </w:p>
        </w:tc>
        <w:tc>
          <w:tcPr>
            <w:tcW w:w="992" w:type="dxa"/>
            <w:tcBorders>
              <w:top w:val="none" w:sz="0" w:space="0" w:color="000000"/>
              <w:left w:val="none" w:sz="0" w:space="0" w:color="000000"/>
              <w:bottom w:val="none" w:sz="0" w:space="0" w:color="000000"/>
            </w:tcBorders>
            <w:shd w:val="clear" w:color="auto" w:fill="auto"/>
            <w:vAlign w:val="center"/>
          </w:tcPr>
          <w:p w:rsidR="00DE5825" w:rsidRPr="009014A4" w:rsidRDefault="00DE5825" w:rsidP="00155CD8">
            <w:pPr>
              <w:suppressAutoHyphens/>
              <w:spacing w:after="0" w:line="240" w:lineRule="auto"/>
              <w:jc w:val="center"/>
              <w:rPr>
                <w:rFonts w:ascii="Calibri" w:eastAsia="Times New Roman" w:hAnsi="Calibri" w:cs="Calibri"/>
                <w:color w:val="000000"/>
                <w:lang w:eastAsia="zh-CN"/>
              </w:rPr>
            </w:pPr>
            <w:r w:rsidRPr="009014A4">
              <w:rPr>
                <w:rFonts w:ascii="Calibri" w:eastAsia="Times New Roman" w:hAnsi="Calibri" w:cs="Calibri"/>
                <w:color w:val="000000"/>
                <w:lang w:eastAsia="zh-CN"/>
              </w:rPr>
              <w:t>0</w:t>
            </w:r>
            <w:r w:rsidR="00155CD8" w:rsidRPr="009014A4">
              <w:rPr>
                <w:rFonts w:ascii="Calibri" w:eastAsia="Times New Roman" w:hAnsi="Calibri" w:cs="Calibri"/>
                <w:color w:val="000000"/>
                <w:lang w:eastAsia="zh-CN"/>
              </w:rPr>
              <w:t>,9</w:t>
            </w:r>
          </w:p>
        </w:tc>
        <w:tc>
          <w:tcPr>
            <w:tcW w:w="1003" w:type="dxa"/>
            <w:tcBorders>
              <w:top w:val="none" w:sz="0" w:space="0" w:color="000000"/>
              <w:left w:val="none" w:sz="0" w:space="0" w:color="000000"/>
              <w:bottom w:val="none" w:sz="0" w:space="0" w:color="000000"/>
              <w:right w:val="single" w:sz="4" w:space="0" w:color="000000"/>
            </w:tcBorders>
            <w:shd w:val="clear" w:color="auto" w:fill="auto"/>
            <w:vAlign w:val="center"/>
          </w:tcPr>
          <w:p w:rsidR="00DE5825" w:rsidRPr="003A074F" w:rsidRDefault="00DE5825" w:rsidP="00155CD8">
            <w:pPr>
              <w:suppressAutoHyphens/>
              <w:spacing w:after="0" w:line="240" w:lineRule="auto"/>
              <w:jc w:val="center"/>
              <w:rPr>
                <w:rFonts w:ascii="Times New Roman" w:eastAsia="Times New Roman" w:hAnsi="Times New Roman" w:cs="Times New Roman"/>
                <w:sz w:val="24"/>
                <w:szCs w:val="24"/>
                <w:lang w:eastAsia="zh-CN"/>
              </w:rPr>
            </w:pPr>
            <w:r w:rsidRPr="009014A4">
              <w:rPr>
                <w:rFonts w:ascii="Calibri" w:eastAsia="Times New Roman" w:hAnsi="Calibri" w:cs="Calibri"/>
                <w:color w:val="000000"/>
                <w:lang w:eastAsia="zh-CN"/>
              </w:rPr>
              <w:t>2,</w:t>
            </w:r>
            <w:r w:rsidR="00155CD8" w:rsidRPr="009014A4">
              <w:rPr>
                <w:rFonts w:ascii="Calibri" w:eastAsia="Times New Roman" w:hAnsi="Calibri" w:cs="Calibri"/>
                <w:color w:val="000000"/>
                <w:lang w:eastAsia="zh-CN"/>
              </w:rPr>
              <w:t>5</w:t>
            </w:r>
          </w:p>
        </w:tc>
      </w:tr>
      <w:tr w:rsidR="00DE5825" w:rsidRPr="003A074F" w:rsidTr="00916EA3">
        <w:trPr>
          <w:trHeight w:val="300"/>
          <w:jc w:val="center"/>
        </w:trPr>
        <w:tc>
          <w:tcPr>
            <w:tcW w:w="2631" w:type="dxa"/>
            <w:tcBorders>
              <w:top w:val="none" w:sz="0" w:space="0" w:color="000000"/>
              <w:left w:val="single" w:sz="4" w:space="0" w:color="000000"/>
              <w:bottom w:val="none" w:sz="0" w:space="0" w:color="000000"/>
            </w:tcBorders>
            <w:shd w:val="clear" w:color="auto" w:fill="auto"/>
            <w:vAlign w:val="center"/>
          </w:tcPr>
          <w:p w:rsidR="00DE5825" w:rsidRPr="003A074F" w:rsidRDefault="00DE5825" w:rsidP="00916EA3">
            <w:pPr>
              <w:numPr>
                <w:ilvl w:val="0"/>
                <w:numId w:val="6"/>
              </w:numPr>
              <w:suppressAutoHyphens/>
              <w:spacing w:after="0" w:line="240" w:lineRule="auto"/>
              <w:rPr>
                <w:rFonts w:ascii="Calibri" w:eastAsia="Times New Roman" w:hAnsi="Calibri" w:cs="Calibri"/>
                <w:color w:val="000000"/>
                <w:lang w:eastAsia="zh-CN"/>
              </w:rPr>
            </w:pPr>
            <w:r w:rsidRPr="003A074F">
              <w:rPr>
                <w:rFonts w:ascii="Calibri" w:eastAsia="Times New Roman" w:hAnsi="Calibri" w:cs="Calibri"/>
                <w:color w:val="000000"/>
                <w:lang w:eastAsia="zh-CN"/>
              </w:rPr>
              <w:t>15%*BC</w:t>
            </w:r>
          </w:p>
        </w:tc>
        <w:tc>
          <w:tcPr>
            <w:tcW w:w="1599" w:type="dxa"/>
            <w:tcBorders>
              <w:top w:val="none" w:sz="0" w:space="0" w:color="000000"/>
              <w:left w:val="single" w:sz="4" w:space="0" w:color="000000"/>
              <w:bottom w:val="none" w:sz="0" w:space="0" w:color="000000"/>
            </w:tcBorders>
            <w:shd w:val="clear" w:color="auto" w:fill="auto"/>
          </w:tcPr>
          <w:p w:rsidR="00DE5825" w:rsidRPr="003A074F" w:rsidRDefault="0009477A" w:rsidP="00916EA3">
            <w:pPr>
              <w:suppressAutoHyphens/>
              <w:spacing w:after="0" w:line="240" w:lineRule="auto"/>
              <w:jc w:val="center"/>
              <w:rPr>
                <w:rFonts w:ascii="Calibri" w:eastAsia="Times New Roman" w:hAnsi="Calibri" w:cs="Calibri"/>
                <w:color w:val="000000"/>
                <w:lang w:eastAsia="zh-CN"/>
              </w:rPr>
            </w:pPr>
            <w:r>
              <w:rPr>
                <w:rFonts w:ascii="Calibri" w:eastAsia="Times New Roman" w:hAnsi="Calibri" w:cs="Calibri"/>
                <w:color w:val="000000"/>
                <w:lang w:eastAsia="zh-CN"/>
              </w:rPr>
              <w:t>1,7</w:t>
            </w:r>
          </w:p>
        </w:tc>
        <w:tc>
          <w:tcPr>
            <w:tcW w:w="1073" w:type="dxa"/>
            <w:tcBorders>
              <w:top w:val="none" w:sz="0" w:space="0" w:color="000000"/>
              <w:left w:val="single" w:sz="4" w:space="0" w:color="000000"/>
              <w:bottom w:val="none" w:sz="0" w:space="0" w:color="000000"/>
            </w:tcBorders>
            <w:shd w:val="clear" w:color="auto" w:fill="auto"/>
            <w:vAlign w:val="center"/>
          </w:tcPr>
          <w:p w:rsidR="00DE5825" w:rsidRPr="003A074F" w:rsidRDefault="00DE5825" w:rsidP="0009477A">
            <w:pPr>
              <w:suppressAutoHyphens/>
              <w:spacing w:after="0" w:line="240" w:lineRule="auto"/>
              <w:jc w:val="center"/>
              <w:rPr>
                <w:rFonts w:ascii="Calibri" w:eastAsia="Times New Roman" w:hAnsi="Calibri" w:cs="Calibri"/>
                <w:color w:val="000000"/>
                <w:lang w:eastAsia="zh-CN"/>
              </w:rPr>
            </w:pPr>
            <w:r w:rsidRPr="003A074F">
              <w:rPr>
                <w:rFonts w:ascii="Calibri" w:eastAsia="Times New Roman" w:hAnsi="Calibri" w:cs="Calibri"/>
                <w:color w:val="000000"/>
                <w:lang w:eastAsia="zh-CN"/>
              </w:rPr>
              <w:t>-0,</w:t>
            </w:r>
            <w:r w:rsidR="0009477A">
              <w:rPr>
                <w:rFonts w:ascii="Calibri" w:eastAsia="Times New Roman" w:hAnsi="Calibri" w:cs="Calibri"/>
                <w:color w:val="000000"/>
                <w:lang w:eastAsia="zh-CN"/>
              </w:rPr>
              <w:t>9</w:t>
            </w:r>
          </w:p>
        </w:tc>
        <w:tc>
          <w:tcPr>
            <w:tcW w:w="1134" w:type="dxa"/>
            <w:tcBorders>
              <w:top w:val="none" w:sz="0" w:space="0" w:color="000000"/>
              <w:left w:val="none" w:sz="0" w:space="0" w:color="000000"/>
              <w:bottom w:val="none" w:sz="0" w:space="0" w:color="000000"/>
            </w:tcBorders>
            <w:shd w:val="clear" w:color="auto" w:fill="auto"/>
            <w:vAlign w:val="center"/>
          </w:tcPr>
          <w:p w:rsidR="00DE5825" w:rsidRPr="003A074F" w:rsidRDefault="00DE5825" w:rsidP="00916EA3">
            <w:pPr>
              <w:suppressAutoHyphens/>
              <w:spacing w:after="0" w:line="240" w:lineRule="auto"/>
              <w:jc w:val="center"/>
              <w:rPr>
                <w:rFonts w:ascii="Calibri" w:eastAsia="Times New Roman" w:hAnsi="Calibri" w:cs="Calibri"/>
                <w:color w:val="000000"/>
                <w:lang w:eastAsia="zh-CN"/>
              </w:rPr>
            </w:pPr>
            <w:r w:rsidRPr="003A074F">
              <w:rPr>
                <w:rFonts w:ascii="Calibri" w:eastAsia="Times New Roman" w:hAnsi="Calibri" w:cs="Calibri"/>
                <w:color w:val="000000"/>
                <w:lang w:eastAsia="zh-CN"/>
              </w:rPr>
              <w:t>0,0</w:t>
            </w:r>
          </w:p>
        </w:tc>
        <w:tc>
          <w:tcPr>
            <w:tcW w:w="992" w:type="dxa"/>
            <w:tcBorders>
              <w:top w:val="none" w:sz="0" w:space="0" w:color="000000"/>
              <w:left w:val="none" w:sz="0" w:space="0" w:color="000000"/>
              <w:bottom w:val="none" w:sz="0" w:space="0" w:color="000000"/>
            </w:tcBorders>
            <w:shd w:val="clear" w:color="auto" w:fill="auto"/>
            <w:vAlign w:val="center"/>
          </w:tcPr>
          <w:p w:rsidR="00DE5825" w:rsidRPr="003A074F" w:rsidRDefault="00DE5825" w:rsidP="0009477A">
            <w:pPr>
              <w:suppressAutoHyphens/>
              <w:spacing w:after="0" w:line="240" w:lineRule="auto"/>
              <w:jc w:val="center"/>
              <w:rPr>
                <w:rFonts w:ascii="Calibri" w:eastAsia="Times New Roman" w:hAnsi="Calibri" w:cs="Calibri"/>
                <w:color w:val="000000"/>
                <w:lang w:eastAsia="zh-CN"/>
              </w:rPr>
            </w:pPr>
            <w:r w:rsidRPr="003A074F">
              <w:rPr>
                <w:rFonts w:ascii="Calibri" w:eastAsia="Times New Roman" w:hAnsi="Calibri" w:cs="Calibri"/>
                <w:color w:val="000000"/>
                <w:lang w:eastAsia="zh-CN"/>
              </w:rPr>
              <w:t>0,</w:t>
            </w:r>
            <w:r w:rsidR="0009477A">
              <w:rPr>
                <w:rFonts w:ascii="Calibri" w:eastAsia="Times New Roman" w:hAnsi="Calibri" w:cs="Calibri"/>
                <w:color w:val="000000"/>
                <w:lang w:eastAsia="zh-CN"/>
              </w:rPr>
              <w:t>4</w:t>
            </w:r>
          </w:p>
        </w:tc>
        <w:tc>
          <w:tcPr>
            <w:tcW w:w="992" w:type="dxa"/>
            <w:tcBorders>
              <w:top w:val="none" w:sz="0" w:space="0" w:color="000000"/>
              <w:left w:val="none" w:sz="0" w:space="0" w:color="000000"/>
              <w:bottom w:val="none" w:sz="0" w:space="0" w:color="000000"/>
            </w:tcBorders>
            <w:shd w:val="clear" w:color="auto" w:fill="auto"/>
            <w:vAlign w:val="center"/>
          </w:tcPr>
          <w:p w:rsidR="00DE5825" w:rsidRPr="003A074F" w:rsidRDefault="00DE5825" w:rsidP="0009477A">
            <w:pPr>
              <w:suppressAutoHyphens/>
              <w:spacing w:after="0" w:line="240" w:lineRule="auto"/>
              <w:jc w:val="center"/>
              <w:rPr>
                <w:rFonts w:ascii="Calibri" w:eastAsia="Times New Roman" w:hAnsi="Calibri" w:cs="Calibri"/>
                <w:color w:val="000000"/>
                <w:lang w:eastAsia="zh-CN"/>
              </w:rPr>
            </w:pPr>
            <w:r w:rsidRPr="003A074F">
              <w:rPr>
                <w:rFonts w:ascii="Calibri" w:eastAsia="Times New Roman" w:hAnsi="Calibri" w:cs="Calibri"/>
                <w:color w:val="000000"/>
                <w:lang w:eastAsia="zh-CN"/>
              </w:rPr>
              <w:t>1,</w:t>
            </w:r>
            <w:r w:rsidR="0009477A">
              <w:rPr>
                <w:rFonts w:ascii="Calibri" w:eastAsia="Times New Roman" w:hAnsi="Calibri" w:cs="Calibri"/>
                <w:color w:val="000000"/>
                <w:lang w:eastAsia="zh-CN"/>
              </w:rPr>
              <w:t>7</w:t>
            </w:r>
          </w:p>
        </w:tc>
        <w:tc>
          <w:tcPr>
            <w:tcW w:w="1003" w:type="dxa"/>
            <w:tcBorders>
              <w:top w:val="none" w:sz="0" w:space="0" w:color="000000"/>
              <w:left w:val="none" w:sz="0" w:space="0" w:color="000000"/>
              <w:bottom w:val="none" w:sz="0" w:space="0" w:color="000000"/>
              <w:right w:val="single" w:sz="4" w:space="0" w:color="000000"/>
            </w:tcBorders>
            <w:shd w:val="clear" w:color="auto" w:fill="auto"/>
            <w:vAlign w:val="center"/>
          </w:tcPr>
          <w:p w:rsidR="00DE5825" w:rsidRPr="003A074F" w:rsidRDefault="00DE5825" w:rsidP="0009477A">
            <w:pPr>
              <w:suppressAutoHyphens/>
              <w:spacing w:after="0" w:line="240" w:lineRule="auto"/>
              <w:jc w:val="center"/>
              <w:rPr>
                <w:rFonts w:ascii="Times New Roman" w:eastAsia="Times New Roman" w:hAnsi="Times New Roman" w:cs="Times New Roman"/>
                <w:sz w:val="24"/>
                <w:szCs w:val="24"/>
                <w:lang w:eastAsia="zh-CN"/>
              </w:rPr>
            </w:pPr>
            <w:r w:rsidRPr="003A074F">
              <w:rPr>
                <w:rFonts w:ascii="Calibri" w:eastAsia="Times New Roman" w:hAnsi="Calibri" w:cs="Calibri"/>
                <w:color w:val="000000"/>
                <w:lang w:eastAsia="zh-CN"/>
              </w:rPr>
              <w:t>4,</w:t>
            </w:r>
            <w:r w:rsidR="0009477A">
              <w:rPr>
                <w:rFonts w:ascii="Calibri" w:eastAsia="Times New Roman" w:hAnsi="Calibri" w:cs="Calibri"/>
                <w:color w:val="000000"/>
                <w:lang w:eastAsia="zh-CN"/>
              </w:rPr>
              <w:t>2</w:t>
            </w:r>
          </w:p>
        </w:tc>
      </w:tr>
      <w:tr w:rsidR="00DE5825" w:rsidRPr="003A074F" w:rsidTr="00916EA3">
        <w:trPr>
          <w:trHeight w:val="300"/>
          <w:jc w:val="center"/>
        </w:trPr>
        <w:tc>
          <w:tcPr>
            <w:tcW w:w="2631" w:type="dxa"/>
            <w:tcBorders>
              <w:top w:val="none" w:sz="0" w:space="0" w:color="000000"/>
              <w:left w:val="single" w:sz="4" w:space="0" w:color="000000"/>
              <w:bottom w:val="single" w:sz="4" w:space="0" w:color="000000"/>
            </w:tcBorders>
            <w:shd w:val="clear" w:color="auto" w:fill="auto"/>
            <w:vAlign w:val="center"/>
          </w:tcPr>
          <w:p w:rsidR="00DE5825" w:rsidRPr="003A074F" w:rsidRDefault="00DE5825" w:rsidP="00916EA3">
            <w:pPr>
              <w:numPr>
                <w:ilvl w:val="0"/>
                <w:numId w:val="6"/>
              </w:numPr>
              <w:suppressAutoHyphens/>
              <w:spacing w:after="0" w:line="240" w:lineRule="auto"/>
              <w:rPr>
                <w:rFonts w:ascii="Calibri" w:eastAsia="Times New Roman" w:hAnsi="Calibri" w:cs="Calibri"/>
                <w:color w:val="000000"/>
                <w:lang w:eastAsia="zh-CN"/>
              </w:rPr>
            </w:pPr>
            <w:r w:rsidRPr="003A074F">
              <w:rPr>
                <w:rFonts w:ascii="Calibri" w:eastAsia="Times New Roman" w:hAnsi="Calibri" w:cs="Calibri"/>
                <w:color w:val="000000"/>
                <w:lang w:eastAsia="zh-CN"/>
              </w:rPr>
              <w:t>20%*BC</w:t>
            </w:r>
          </w:p>
        </w:tc>
        <w:tc>
          <w:tcPr>
            <w:tcW w:w="1599" w:type="dxa"/>
            <w:tcBorders>
              <w:top w:val="none" w:sz="0" w:space="0" w:color="000000"/>
              <w:left w:val="single" w:sz="4" w:space="0" w:color="000000"/>
              <w:bottom w:val="single" w:sz="4" w:space="0" w:color="000000"/>
            </w:tcBorders>
            <w:shd w:val="clear" w:color="auto" w:fill="auto"/>
          </w:tcPr>
          <w:p w:rsidR="00DE5825" w:rsidRPr="003A074F" w:rsidRDefault="0009477A" w:rsidP="0009477A">
            <w:pPr>
              <w:suppressAutoHyphens/>
              <w:spacing w:after="0" w:line="240" w:lineRule="auto"/>
              <w:jc w:val="center"/>
              <w:rPr>
                <w:rFonts w:ascii="Calibri" w:eastAsia="Times New Roman" w:hAnsi="Calibri" w:cs="Calibri"/>
                <w:color w:val="000000"/>
                <w:lang w:eastAsia="zh-CN"/>
              </w:rPr>
            </w:pPr>
            <w:r>
              <w:rPr>
                <w:rFonts w:ascii="Calibri" w:eastAsia="Times New Roman" w:hAnsi="Calibri" w:cs="Calibri"/>
                <w:color w:val="000000"/>
                <w:lang w:eastAsia="zh-CN"/>
              </w:rPr>
              <w:t>3</w:t>
            </w:r>
            <w:r w:rsidR="00DE5825" w:rsidRPr="003A074F">
              <w:rPr>
                <w:rFonts w:ascii="Calibri" w:eastAsia="Times New Roman" w:hAnsi="Calibri" w:cs="Calibri"/>
                <w:color w:val="000000"/>
                <w:lang w:eastAsia="zh-CN"/>
              </w:rPr>
              <w:t>,</w:t>
            </w:r>
            <w:r>
              <w:rPr>
                <w:rFonts w:ascii="Calibri" w:eastAsia="Times New Roman" w:hAnsi="Calibri" w:cs="Calibri"/>
                <w:color w:val="000000"/>
                <w:lang w:eastAsia="zh-CN"/>
              </w:rPr>
              <w:t>0</w:t>
            </w:r>
          </w:p>
        </w:tc>
        <w:tc>
          <w:tcPr>
            <w:tcW w:w="1073" w:type="dxa"/>
            <w:tcBorders>
              <w:top w:val="none" w:sz="0" w:space="0" w:color="000000"/>
              <w:left w:val="single" w:sz="4" w:space="0" w:color="000000"/>
              <w:bottom w:val="single" w:sz="4" w:space="0" w:color="000000"/>
            </w:tcBorders>
            <w:shd w:val="clear" w:color="auto" w:fill="auto"/>
            <w:vAlign w:val="center"/>
          </w:tcPr>
          <w:p w:rsidR="00DE5825" w:rsidRPr="003A074F" w:rsidRDefault="00DE5825" w:rsidP="00916EA3">
            <w:pPr>
              <w:suppressAutoHyphens/>
              <w:spacing w:after="0" w:line="240" w:lineRule="auto"/>
              <w:jc w:val="center"/>
              <w:rPr>
                <w:rFonts w:ascii="Calibri" w:eastAsia="Times New Roman" w:hAnsi="Calibri" w:cs="Calibri"/>
                <w:color w:val="000000"/>
                <w:lang w:eastAsia="zh-CN"/>
              </w:rPr>
            </w:pPr>
            <w:r w:rsidRPr="003A074F">
              <w:rPr>
                <w:rFonts w:ascii="Calibri" w:eastAsia="Times New Roman" w:hAnsi="Calibri" w:cs="Calibri"/>
                <w:color w:val="000000"/>
                <w:lang w:eastAsia="zh-CN"/>
              </w:rPr>
              <w:t>0,0</w:t>
            </w:r>
          </w:p>
        </w:tc>
        <w:tc>
          <w:tcPr>
            <w:tcW w:w="1134" w:type="dxa"/>
            <w:tcBorders>
              <w:top w:val="none" w:sz="0" w:space="0" w:color="000000"/>
              <w:left w:val="none" w:sz="0" w:space="0" w:color="000000"/>
              <w:bottom w:val="single" w:sz="4" w:space="0" w:color="000000"/>
            </w:tcBorders>
            <w:shd w:val="clear" w:color="auto" w:fill="auto"/>
            <w:vAlign w:val="center"/>
          </w:tcPr>
          <w:p w:rsidR="00DE5825" w:rsidRPr="003A074F" w:rsidRDefault="00DE5825" w:rsidP="00916EA3">
            <w:pPr>
              <w:suppressAutoHyphens/>
              <w:spacing w:after="0" w:line="240" w:lineRule="auto"/>
              <w:jc w:val="center"/>
              <w:rPr>
                <w:rFonts w:ascii="Calibri" w:eastAsia="Times New Roman" w:hAnsi="Calibri" w:cs="Calibri"/>
                <w:color w:val="000000"/>
                <w:lang w:eastAsia="zh-CN"/>
              </w:rPr>
            </w:pPr>
            <w:r w:rsidRPr="003A074F">
              <w:rPr>
                <w:rFonts w:ascii="Calibri" w:eastAsia="Times New Roman" w:hAnsi="Calibri" w:cs="Calibri"/>
                <w:color w:val="000000"/>
                <w:lang w:eastAsia="zh-CN"/>
              </w:rPr>
              <w:t>0,0</w:t>
            </w:r>
          </w:p>
        </w:tc>
        <w:tc>
          <w:tcPr>
            <w:tcW w:w="992" w:type="dxa"/>
            <w:tcBorders>
              <w:top w:val="none" w:sz="0" w:space="0" w:color="000000"/>
              <w:left w:val="none" w:sz="0" w:space="0" w:color="000000"/>
              <w:bottom w:val="single" w:sz="4" w:space="0" w:color="000000"/>
            </w:tcBorders>
            <w:shd w:val="clear" w:color="auto" w:fill="auto"/>
            <w:vAlign w:val="center"/>
          </w:tcPr>
          <w:p w:rsidR="00DE5825" w:rsidRPr="003A074F" w:rsidRDefault="00DE5825" w:rsidP="0009477A">
            <w:pPr>
              <w:suppressAutoHyphens/>
              <w:spacing w:after="0" w:line="240" w:lineRule="auto"/>
              <w:jc w:val="center"/>
              <w:rPr>
                <w:rFonts w:ascii="Calibri" w:eastAsia="Times New Roman" w:hAnsi="Calibri" w:cs="Calibri"/>
                <w:color w:val="000000"/>
                <w:lang w:eastAsia="zh-CN"/>
              </w:rPr>
            </w:pPr>
            <w:r w:rsidRPr="003A074F">
              <w:rPr>
                <w:rFonts w:ascii="Calibri" w:eastAsia="Times New Roman" w:hAnsi="Calibri" w:cs="Calibri"/>
                <w:color w:val="000000"/>
                <w:lang w:eastAsia="zh-CN"/>
              </w:rPr>
              <w:t>1,</w:t>
            </w:r>
            <w:r w:rsidR="0009477A">
              <w:rPr>
                <w:rFonts w:ascii="Calibri" w:eastAsia="Times New Roman" w:hAnsi="Calibri" w:cs="Calibri"/>
                <w:color w:val="000000"/>
                <w:lang w:eastAsia="zh-CN"/>
              </w:rPr>
              <w:t>0</w:t>
            </w:r>
          </w:p>
        </w:tc>
        <w:tc>
          <w:tcPr>
            <w:tcW w:w="992" w:type="dxa"/>
            <w:tcBorders>
              <w:top w:val="none" w:sz="0" w:space="0" w:color="000000"/>
              <w:left w:val="none" w:sz="0" w:space="0" w:color="000000"/>
              <w:bottom w:val="single" w:sz="4" w:space="0" w:color="000000"/>
            </w:tcBorders>
            <w:shd w:val="clear" w:color="auto" w:fill="auto"/>
            <w:vAlign w:val="center"/>
          </w:tcPr>
          <w:p w:rsidR="00DE5825" w:rsidRPr="003A074F" w:rsidRDefault="0009477A" w:rsidP="0009477A">
            <w:pPr>
              <w:suppressAutoHyphens/>
              <w:spacing w:after="0" w:line="240" w:lineRule="auto"/>
              <w:jc w:val="center"/>
              <w:rPr>
                <w:rFonts w:ascii="Calibri" w:eastAsia="Times New Roman" w:hAnsi="Calibri" w:cs="Calibri"/>
                <w:color w:val="000000"/>
                <w:lang w:eastAsia="zh-CN"/>
              </w:rPr>
            </w:pPr>
            <w:r>
              <w:rPr>
                <w:rFonts w:ascii="Calibri" w:eastAsia="Times New Roman" w:hAnsi="Calibri" w:cs="Calibri"/>
                <w:color w:val="000000"/>
                <w:lang w:eastAsia="zh-CN"/>
              </w:rPr>
              <w:t>2,6</w:t>
            </w:r>
          </w:p>
        </w:tc>
        <w:tc>
          <w:tcPr>
            <w:tcW w:w="1003" w:type="dxa"/>
            <w:tcBorders>
              <w:top w:val="none" w:sz="0" w:space="0" w:color="000000"/>
              <w:left w:val="none" w:sz="0" w:space="0" w:color="000000"/>
              <w:bottom w:val="single" w:sz="4" w:space="0" w:color="000000"/>
              <w:right w:val="single" w:sz="4" w:space="0" w:color="000000"/>
            </w:tcBorders>
            <w:shd w:val="clear" w:color="auto" w:fill="auto"/>
            <w:vAlign w:val="center"/>
          </w:tcPr>
          <w:p w:rsidR="00DE5825" w:rsidRPr="003A074F" w:rsidRDefault="0009477A" w:rsidP="0009477A">
            <w:pPr>
              <w:suppressAutoHyphens/>
              <w:spacing w:after="0" w:line="240" w:lineRule="auto"/>
              <w:jc w:val="center"/>
              <w:rPr>
                <w:rFonts w:ascii="Times New Roman" w:eastAsia="Times New Roman" w:hAnsi="Times New Roman" w:cs="Times New Roman"/>
                <w:sz w:val="24"/>
                <w:szCs w:val="24"/>
                <w:lang w:eastAsia="zh-CN"/>
              </w:rPr>
            </w:pPr>
            <w:r>
              <w:rPr>
                <w:rFonts w:ascii="Calibri" w:eastAsia="Times New Roman" w:hAnsi="Calibri" w:cs="Calibri"/>
                <w:color w:val="000000"/>
                <w:lang w:eastAsia="zh-CN"/>
              </w:rPr>
              <w:t>6</w:t>
            </w:r>
            <w:r w:rsidR="00DE5825" w:rsidRPr="003A074F">
              <w:rPr>
                <w:rFonts w:ascii="Calibri" w:eastAsia="Times New Roman" w:hAnsi="Calibri" w:cs="Calibri"/>
                <w:color w:val="000000"/>
                <w:lang w:eastAsia="zh-CN"/>
              </w:rPr>
              <w:t>,</w:t>
            </w:r>
            <w:r>
              <w:rPr>
                <w:rFonts w:ascii="Calibri" w:eastAsia="Times New Roman" w:hAnsi="Calibri" w:cs="Calibri"/>
                <w:color w:val="000000"/>
                <w:lang w:eastAsia="zh-CN"/>
              </w:rPr>
              <w:t>2</w:t>
            </w:r>
          </w:p>
        </w:tc>
      </w:tr>
    </w:tbl>
    <w:p w:rsidR="00DE5825" w:rsidRPr="003A074F" w:rsidRDefault="00DE5825" w:rsidP="009014A4">
      <w:pPr>
        <w:suppressAutoHyphens/>
        <w:autoSpaceDE w:val="0"/>
        <w:spacing w:after="0" w:line="240" w:lineRule="auto"/>
        <w:rPr>
          <w:rFonts w:ascii="Arial" w:eastAsia="Times New Roman" w:hAnsi="Arial" w:cs="Arial"/>
          <w:bCs/>
          <w:i/>
          <w:sz w:val="18"/>
          <w:szCs w:val="18"/>
          <w:u w:val="single"/>
          <w:lang w:eastAsia="zh-CN"/>
        </w:rPr>
      </w:pPr>
      <w:r w:rsidRPr="003A074F">
        <w:rPr>
          <w:rFonts w:ascii="Arial" w:eastAsia="Times New Roman" w:hAnsi="Arial" w:cs="Arial"/>
          <w:bCs/>
          <w:i/>
          <w:sz w:val="18"/>
          <w:szCs w:val="18"/>
          <w:u w:val="single"/>
          <w:lang w:eastAsia="zh-CN"/>
        </w:rPr>
        <w:t>Champ :</w:t>
      </w:r>
      <w:r w:rsidRPr="003A074F">
        <w:rPr>
          <w:rFonts w:ascii="Arial" w:eastAsia="Times New Roman" w:hAnsi="Arial" w:cs="Arial"/>
          <w:bCs/>
          <w:i/>
          <w:sz w:val="18"/>
          <w:szCs w:val="18"/>
          <w:lang w:eastAsia="zh-CN"/>
        </w:rPr>
        <w:t xml:space="preserve"> entreprises privées de 50 salariés ou plus, hors secteurs agricole et financier.</w:t>
      </w:r>
    </w:p>
    <w:p w:rsidR="00DE5825" w:rsidRDefault="00DE5825" w:rsidP="009014A4">
      <w:pPr>
        <w:suppressAutoHyphens/>
        <w:autoSpaceDE w:val="0"/>
        <w:spacing w:after="0" w:line="240" w:lineRule="auto"/>
        <w:rPr>
          <w:rFonts w:ascii="Arial" w:eastAsia="Times New Roman" w:hAnsi="Arial" w:cs="Arial"/>
          <w:bCs/>
          <w:i/>
          <w:sz w:val="18"/>
          <w:szCs w:val="18"/>
          <w:lang w:eastAsia="zh-CN"/>
        </w:rPr>
      </w:pPr>
      <w:r w:rsidRPr="003A074F">
        <w:rPr>
          <w:rFonts w:ascii="Arial" w:eastAsia="Times New Roman" w:hAnsi="Arial" w:cs="Arial"/>
          <w:bCs/>
          <w:i/>
          <w:sz w:val="18"/>
          <w:szCs w:val="18"/>
          <w:u w:val="single"/>
          <w:lang w:eastAsia="zh-CN"/>
        </w:rPr>
        <w:t>Source :</w:t>
      </w:r>
      <w:r w:rsidRPr="003A074F">
        <w:rPr>
          <w:rFonts w:ascii="Arial" w:eastAsia="Times New Roman" w:hAnsi="Arial" w:cs="Arial"/>
          <w:bCs/>
          <w:i/>
          <w:sz w:val="18"/>
          <w:szCs w:val="18"/>
          <w:lang w:eastAsia="zh-CN"/>
        </w:rPr>
        <w:t xml:space="preserve"> Insee - fichier Fare 2015, calculs Dares.</w:t>
      </w:r>
    </w:p>
    <w:p w:rsidR="000B6CE5" w:rsidRDefault="000B6CE5" w:rsidP="009014A4">
      <w:pPr>
        <w:suppressAutoHyphens/>
        <w:autoSpaceDE w:val="0"/>
        <w:spacing w:after="0" w:line="240" w:lineRule="auto"/>
        <w:rPr>
          <w:rFonts w:ascii="Arial" w:eastAsia="Times New Roman" w:hAnsi="Arial" w:cs="Arial"/>
          <w:bCs/>
          <w:i/>
          <w:sz w:val="18"/>
          <w:szCs w:val="18"/>
          <w:lang w:eastAsia="zh-CN"/>
        </w:rPr>
      </w:pPr>
      <w:r w:rsidRPr="004E4646">
        <w:rPr>
          <w:rFonts w:ascii="Arial" w:eastAsia="Times New Roman" w:hAnsi="Arial" w:cs="Arial"/>
          <w:bCs/>
          <w:i/>
          <w:sz w:val="18"/>
          <w:szCs w:val="18"/>
          <w:u w:val="single"/>
          <w:lang w:eastAsia="zh-CN"/>
        </w:rPr>
        <w:t>Lecture</w:t>
      </w:r>
      <w:r w:rsidRPr="000B6CE5">
        <w:rPr>
          <w:rFonts w:ascii="Arial" w:eastAsia="Times New Roman" w:hAnsi="Arial" w:cs="Arial"/>
          <w:bCs/>
          <w:i/>
          <w:sz w:val="18"/>
          <w:szCs w:val="18"/>
          <w:lang w:eastAsia="zh-CN"/>
        </w:rPr>
        <w:t xml:space="preserve"> : avec la formule de calcul (</w:t>
      </w:r>
      <w:r>
        <w:rPr>
          <w:rFonts w:ascii="Arial" w:eastAsia="Times New Roman" w:hAnsi="Arial" w:cs="Arial"/>
          <w:bCs/>
          <w:i/>
          <w:sz w:val="18"/>
          <w:szCs w:val="18"/>
          <w:lang w:eastAsia="zh-CN"/>
        </w:rPr>
        <w:t>2</w:t>
      </w:r>
      <w:r w:rsidRPr="000B6CE5">
        <w:rPr>
          <w:rFonts w:ascii="Arial" w:eastAsia="Times New Roman" w:hAnsi="Arial" w:cs="Arial"/>
          <w:bCs/>
          <w:i/>
          <w:sz w:val="18"/>
          <w:szCs w:val="18"/>
          <w:lang w:eastAsia="zh-CN"/>
        </w:rPr>
        <w:t xml:space="preserve">), le montant total de participation augmenterait de </w:t>
      </w:r>
      <w:r>
        <w:rPr>
          <w:rFonts w:ascii="Arial" w:eastAsia="Times New Roman" w:hAnsi="Arial" w:cs="Arial"/>
          <w:bCs/>
          <w:i/>
          <w:sz w:val="18"/>
          <w:szCs w:val="18"/>
          <w:lang w:eastAsia="zh-CN"/>
        </w:rPr>
        <w:t>0,5</w:t>
      </w:r>
      <w:r w:rsidRPr="000B6CE5">
        <w:rPr>
          <w:rFonts w:ascii="Arial" w:eastAsia="Times New Roman" w:hAnsi="Arial" w:cs="Arial"/>
          <w:bCs/>
          <w:i/>
          <w:sz w:val="18"/>
          <w:szCs w:val="18"/>
          <w:lang w:eastAsia="zh-CN"/>
        </w:rPr>
        <w:t xml:space="preserve"> point de masse salariale. Les 10 % d’entreprises les plus favorisées par la nouvelle formule verraient leur montant de participation baisser de </w:t>
      </w:r>
      <w:r>
        <w:rPr>
          <w:rFonts w:ascii="Arial" w:eastAsia="Times New Roman" w:hAnsi="Arial" w:cs="Arial"/>
          <w:bCs/>
          <w:i/>
          <w:sz w:val="18"/>
          <w:szCs w:val="18"/>
          <w:lang w:eastAsia="zh-CN"/>
        </w:rPr>
        <w:t>2,2</w:t>
      </w:r>
      <w:r w:rsidRPr="000B6CE5">
        <w:rPr>
          <w:rFonts w:ascii="Arial" w:eastAsia="Times New Roman" w:hAnsi="Arial" w:cs="Arial"/>
          <w:bCs/>
          <w:i/>
          <w:sz w:val="18"/>
          <w:szCs w:val="18"/>
          <w:lang w:eastAsia="zh-CN"/>
        </w:rPr>
        <w:t xml:space="preserve"> point ou plus. À l'opposé, les 10 % d’entreprises les plus défavorisées par la nouvelle formule verraient leur participation augmenter d'un montant supérieur à </w:t>
      </w:r>
      <w:r>
        <w:rPr>
          <w:rFonts w:ascii="Arial" w:eastAsia="Times New Roman" w:hAnsi="Arial" w:cs="Arial"/>
          <w:bCs/>
          <w:i/>
          <w:sz w:val="18"/>
          <w:szCs w:val="18"/>
          <w:lang w:eastAsia="zh-CN"/>
        </w:rPr>
        <w:t>2,5</w:t>
      </w:r>
      <w:r w:rsidRPr="000B6CE5">
        <w:rPr>
          <w:rFonts w:ascii="Arial" w:eastAsia="Times New Roman" w:hAnsi="Arial" w:cs="Arial"/>
          <w:bCs/>
          <w:i/>
          <w:sz w:val="18"/>
          <w:szCs w:val="18"/>
          <w:lang w:eastAsia="zh-CN"/>
        </w:rPr>
        <w:t xml:space="preserve"> points de masse salariale.</w:t>
      </w:r>
    </w:p>
    <w:p w:rsidR="00DE5825" w:rsidRDefault="00DE5825" w:rsidP="00DE5825">
      <w:pPr>
        <w:jc w:val="both"/>
      </w:pPr>
    </w:p>
    <w:p w:rsidR="00DE5825" w:rsidRDefault="000212BA" w:rsidP="00DE5825">
      <w:pPr>
        <w:jc w:val="both"/>
      </w:pPr>
      <w:r>
        <w:t>Parmi l</w:t>
      </w:r>
      <w:r w:rsidRPr="007D088C">
        <w:t xml:space="preserve">es </w:t>
      </w:r>
      <w:r w:rsidR="00DE5825" w:rsidRPr="007D088C">
        <w:t>formules basées sur le bénéfice comptable</w:t>
      </w:r>
      <w:r>
        <w:t>, les formules 2 à 4</w:t>
      </w:r>
      <w:r w:rsidR="00DE5825" w:rsidRPr="007D088C">
        <w:t xml:space="preserve"> entraînent, par rapport à la situation actuelle, une augmentation du montant total de la participation versée par les entreprises de 50 salariés ou plus (entre + </w:t>
      </w:r>
      <w:r>
        <w:t>1,3</w:t>
      </w:r>
      <w:r w:rsidR="00DE5825" w:rsidRPr="007D088C">
        <w:t xml:space="preserve"> et + </w:t>
      </w:r>
      <w:r>
        <w:t>8,2</w:t>
      </w:r>
      <w:r w:rsidR="00DE5825" w:rsidRPr="007D088C">
        <w:t xml:space="preserve"> Md€ </w:t>
      </w:r>
      <w:r w:rsidR="00DE5825">
        <w:t>selon</w:t>
      </w:r>
      <w:r w:rsidR="00DE5825" w:rsidRPr="007D088C">
        <w:t xml:space="preserve"> les diff</w:t>
      </w:r>
      <w:r w:rsidR="00DE5825">
        <w:t>érentes simulations</w:t>
      </w:r>
      <w:r w:rsidR="00DE5825" w:rsidRPr="007D088C">
        <w:t>.</w:t>
      </w:r>
      <w:r w:rsidR="00DE5825">
        <w:t xml:space="preserve"> Le ratio à retenir pourrait être celui de 10 %. Facile à mémoriser, il représente l’avantage d’être proche des montants actuels, avec une plus-value pour les salariés. Le ratio de 5 % minore quant à lui les montants versés, et ceux de 15 et 20% seraient une charge trop lourde pour les entreprises. Cette formule apparaît comme la proposition que privilégient majoritairement les membres du COPIESAS. Toutefois, pour éviter des versements disproportionnés certaines années au détriment de la trésorerie des entreprises, une modalité de lissage pourrait être envisagée en basant le calcul de la RSP sur les trois derniers exercices, et non plus sur le seul exercice passé.</w:t>
      </w:r>
    </w:p>
    <w:p w:rsidR="00DE5825" w:rsidRDefault="00DE5825" w:rsidP="00DE5825">
      <w:pPr>
        <w:jc w:val="both"/>
      </w:pPr>
      <w:r>
        <w:t>Si cette solution devait être adoptée, une période de transition devrait être intégrée dans la loi pour permettre aux entreprises de s’approprier la nouvelle formule et aux négociateurs d’amender les accords en vigueur. En effet, une réforme de cette ampleur ne pourrait être mise en application d’un exercice sur l’autre mais devrait être préparée en amont afin que les entreprises puissent en mesurer les effets et s’en emparer pour communiquer auprès de leurs salariés.</w:t>
      </w:r>
      <w:r w:rsidR="005114A9">
        <w:t xml:space="preserve"> Pendant la période de transition, les deux formules de calcul (l’actuelle et la nouvelle) pourraient coexister.</w:t>
      </w:r>
    </w:p>
    <w:p w:rsidR="00DE5825" w:rsidRDefault="00DE5825" w:rsidP="00DE5825">
      <w:pPr>
        <w:jc w:val="both"/>
      </w:pPr>
    </w:p>
    <w:p w:rsidR="00DE5825" w:rsidRDefault="00DE5825" w:rsidP="00794B97">
      <w:pPr>
        <w:pStyle w:val="COPIESASProposition"/>
      </w:pPr>
      <w:bookmarkStart w:id="64" w:name="_Toc509493626"/>
      <w:bookmarkStart w:id="65" w:name="_Toc509561895"/>
      <w:bookmarkStart w:id="66" w:name="_Toc509562136"/>
      <w:r w:rsidRPr="009A3C48">
        <w:t>Proposition n°</w:t>
      </w:r>
      <w:r>
        <w:t>1</w:t>
      </w:r>
      <w:r w:rsidR="00D30CDA">
        <w:t>2</w:t>
      </w:r>
      <w:r w:rsidRPr="009A3C48">
        <w:t xml:space="preserve"> : </w:t>
      </w:r>
      <w:r>
        <w:t>Simplifier radicalement la formule de calcul de la réserve spéciale de participation en l’exprimant en pourcentage (10%) du bénéfice net comptable.</w:t>
      </w:r>
      <w:bookmarkEnd w:id="64"/>
      <w:bookmarkEnd w:id="65"/>
      <w:bookmarkEnd w:id="66"/>
      <w:r>
        <w:t xml:space="preserve"> </w:t>
      </w:r>
    </w:p>
    <w:p w:rsidR="00DE5825" w:rsidRDefault="00DE5825" w:rsidP="00794B97">
      <w:pPr>
        <w:pStyle w:val="COPIESASProposition"/>
      </w:pPr>
      <w:bookmarkStart w:id="67" w:name="_Toc509493627"/>
      <w:bookmarkStart w:id="68" w:name="_Toc509561896"/>
      <w:bookmarkStart w:id="69" w:name="_Toc509562137"/>
      <w:r w:rsidRPr="009A3C48">
        <w:t>Proposition n°</w:t>
      </w:r>
      <w:r>
        <w:t>1</w:t>
      </w:r>
      <w:r w:rsidR="00D30CDA">
        <w:t>3</w:t>
      </w:r>
      <w:r w:rsidRPr="009A3C48">
        <w:t xml:space="preserve"> : </w:t>
      </w:r>
      <w:r w:rsidR="007B54E1">
        <w:t>Expertiser</w:t>
      </w:r>
      <w:r>
        <w:t xml:space="preserve"> la possibilité d’un lissage de la formule sur trois ans</w:t>
      </w:r>
      <w:r w:rsidRPr="00076E9F">
        <w:t>.</w:t>
      </w:r>
      <w:bookmarkEnd w:id="67"/>
      <w:bookmarkEnd w:id="68"/>
      <w:bookmarkEnd w:id="69"/>
    </w:p>
    <w:p w:rsidR="00DE5825" w:rsidRDefault="00DE5825" w:rsidP="00794B97">
      <w:pPr>
        <w:pStyle w:val="COPIESASProposition"/>
      </w:pPr>
      <w:bookmarkStart w:id="70" w:name="_Toc509493628"/>
      <w:bookmarkStart w:id="71" w:name="_Toc509561897"/>
      <w:bookmarkStart w:id="72" w:name="_Toc509562138"/>
      <w:r>
        <w:t>Proposition n°</w:t>
      </w:r>
      <w:r w:rsidR="00D30CDA">
        <w:t>14 </w:t>
      </w:r>
      <w:r>
        <w:t xml:space="preserve">: Aménager une période transitoire </w:t>
      </w:r>
      <w:r w:rsidR="003D146A" w:rsidRPr="003D146A">
        <w:t xml:space="preserve">comprenant une obligation de négocier un nouvel accord de participation en présentant aux partenaires sociaux les résultats de l’ancienne, de la </w:t>
      </w:r>
      <w:r w:rsidR="003D146A" w:rsidRPr="003D146A">
        <w:lastRenderedPageBreak/>
        <w:t>nouvelle formule et de toute autre formule souhaitée. A défaut de nouvel accord à l’issue de la période transitoire, la nouvelle formule s’appliquerait.</w:t>
      </w:r>
      <w:bookmarkEnd w:id="72"/>
      <w:r w:rsidR="003D146A">
        <w:t xml:space="preserve"> </w:t>
      </w:r>
      <w:bookmarkEnd w:id="70"/>
      <w:bookmarkEnd w:id="71"/>
    </w:p>
    <w:p w:rsidR="00DE5825" w:rsidRDefault="00DE5825" w:rsidP="00F0270F">
      <w:pPr>
        <w:pStyle w:val="COPIESAS2"/>
      </w:pPr>
      <w:bookmarkStart w:id="73" w:name="_Toc509513827"/>
      <w:r w:rsidRPr="00D0445B">
        <w:t>Moyen n°</w:t>
      </w:r>
      <w:r>
        <w:t>2</w:t>
      </w:r>
      <w:r w:rsidRPr="009A3C48">
        <w:t xml:space="preserve"> : </w:t>
      </w:r>
      <w:r w:rsidRPr="00A3027B">
        <w:t xml:space="preserve">Une formule de calcul simplifiée </w:t>
      </w:r>
      <w:r>
        <w:t>reprenant la proposition COPIESAS 2014</w:t>
      </w:r>
      <w:bookmarkEnd w:id="73"/>
    </w:p>
    <w:p w:rsidR="00DE5825" w:rsidRDefault="00DE5825" w:rsidP="00DE5825">
      <w:pPr>
        <w:jc w:val="both"/>
      </w:pPr>
      <w:r>
        <w:t>L</w:t>
      </w:r>
      <w:r w:rsidRPr="00874A72">
        <w:t>a formule</w:t>
      </w:r>
      <w:r>
        <w:t xml:space="preserve"> légale de participation suscita</w:t>
      </w:r>
      <w:r w:rsidRPr="00874A72">
        <w:t xml:space="preserve">nt </w:t>
      </w:r>
      <w:r>
        <w:t xml:space="preserve">de longue date </w:t>
      </w:r>
      <w:r w:rsidRPr="00874A72">
        <w:t>des critiques compte tenu de sa complexité, de son manque de lisibilité pour les salariés et de son inadaptation aux secteurs intensifs en capital</w:t>
      </w:r>
      <w:r>
        <w:t xml:space="preserve">, le </w:t>
      </w:r>
      <w:r w:rsidR="00155CD8">
        <w:t xml:space="preserve">COPIESAS </w:t>
      </w:r>
      <w:r>
        <w:t xml:space="preserve">avait, dans son rapport de 2014, proposé une nouvelle formule de calcul simplifiée, alternative à la formule usuelle : pour permettre aux entreprises qui ne souhaitaient pas l’adopter, la formule de calcul de la participation actuelle serait conservée. </w:t>
      </w:r>
    </w:p>
    <w:p w:rsidR="00DE5825" w:rsidRDefault="00DE5825" w:rsidP="00DE5825">
      <w:pPr>
        <w:jc w:val="both"/>
      </w:pPr>
      <w:r>
        <w:t>Pour les entreprises décidant d’adopter des modalités de calcul simplifiées, il était proposé de retenir la formule : RSP = (1/3 B x S/VA).</w:t>
      </w:r>
    </w:p>
    <w:p w:rsidR="00677BE1" w:rsidRDefault="00677BE1" w:rsidP="00677BE1">
      <w:pPr>
        <w:jc w:val="center"/>
      </w:pPr>
      <w:r w:rsidRPr="003A074F">
        <w:rPr>
          <w:rFonts w:ascii="Arial" w:eastAsia="Times New Roman" w:hAnsi="Arial" w:cs="Arial"/>
          <w:b/>
          <w:bCs/>
          <w:sz w:val="20"/>
          <w:szCs w:val="20"/>
          <w:lang w:eastAsia="zh-CN"/>
        </w:rPr>
        <w:t xml:space="preserve">Distribution de l’écart entre le montant estimé et le montant actuel selon les formules de calcul </w:t>
      </w:r>
      <w:r>
        <w:rPr>
          <w:rFonts w:ascii="Arial" w:eastAsia="Times New Roman" w:hAnsi="Arial" w:cs="Arial"/>
          <w:b/>
          <w:bCs/>
          <w:sz w:val="20"/>
          <w:szCs w:val="20"/>
          <w:lang w:eastAsia="zh-CN"/>
        </w:rPr>
        <w:t>basées sur un pourcentage du résultat comptable</w:t>
      </w:r>
    </w:p>
    <w:tbl>
      <w:tblPr>
        <w:tblW w:w="9087" w:type="dxa"/>
        <w:tblInd w:w="55" w:type="dxa"/>
        <w:tblCellMar>
          <w:left w:w="70" w:type="dxa"/>
          <w:right w:w="70" w:type="dxa"/>
        </w:tblCellMar>
        <w:tblLook w:val="04A0" w:firstRow="1" w:lastRow="0" w:firstColumn="1" w:lastColumn="0" w:noHBand="0" w:noVBand="1"/>
      </w:tblPr>
      <w:tblGrid>
        <w:gridCol w:w="1563"/>
        <w:gridCol w:w="2080"/>
        <w:gridCol w:w="1192"/>
        <w:gridCol w:w="992"/>
        <w:gridCol w:w="142"/>
        <w:gridCol w:w="1276"/>
        <w:gridCol w:w="850"/>
        <w:gridCol w:w="992"/>
      </w:tblGrid>
      <w:tr w:rsidR="00677BE1" w:rsidRPr="00677BE1" w:rsidTr="00677BE1">
        <w:trPr>
          <w:trHeight w:val="585"/>
        </w:trPr>
        <w:tc>
          <w:tcPr>
            <w:tcW w:w="1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7BE1" w:rsidRPr="00677BE1" w:rsidRDefault="00677BE1" w:rsidP="00677BE1">
            <w:pPr>
              <w:spacing w:after="0" w:line="240" w:lineRule="auto"/>
              <w:jc w:val="center"/>
              <w:rPr>
                <w:rFonts w:ascii="Calibri" w:eastAsia="Times New Roman" w:hAnsi="Calibri" w:cs="Calibri"/>
                <w:b/>
                <w:bCs/>
                <w:color w:val="000000"/>
                <w:lang w:eastAsia="fr-FR"/>
              </w:rPr>
            </w:pPr>
            <w:r w:rsidRPr="00677BE1">
              <w:rPr>
                <w:rFonts w:ascii="Calibri" w:eastAsia="Times New Roman" w:hAnsi="Calibri" w:cs="Calibri"/>
                <w:b/>
                <w:bCs/>
                <w:color w:val="000000"/>
                <w:lang w:eastAsia="fr-FR"/>
              </w:rPr>
              <w:t>Formule de calcul de la participation</w:t>
            </w:r>
          </w:p>
        </w:tc>
        <w:tc>
          <w:tcPr>
            <w:tcW w:w="2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7BE1" w:rsidRPr="00677BE1" w:rsidRDefault="00677BE1" w:rsidP="00677BE1">
            <w:pPr>
              <w:spacing w:after="0" w:line="240" w:lineRule="auto"/>
              <w:jc w:val="center"/>
              <w:rPr>
                <w:rFonts w:ascii="Calibri" w:eastAsia="Times New Roman" w:hAnsi="Calibri" w:cs="Calibri"/>
                <w:b/>
                <w:bCs/>
                <w:color w:val="000000"/>
                <w:lang w:eastAsia="fr-FR"/>
              </w:rPr>
            </w:pPr>
            <w:r w:rsidRPr="00677BE1">
              <w:rPr>
                <w:rFonts w:ascii="Calibri" w:eastAsia="Times New Roman" w:hAnsi="Calibri" w:cs="Calibri"/>
                <w:b/>
                <w:bCs/>
                <w:color w:val="000000"/>
                <w:lang w:eastAsia="fr-FR"/>
              </w:rPr>
              <w:t>Ecart de montants rapporté à la masse salariale (%)</w:t>
            </w:r>
          </w:p>
        </w:tc>
        <w:tc>
          <w:tcPr>
            <w:tcW w:w="5444" w:type="dxa"/>
            <w:gridSpan w:val="6"/>
            <w:tcBorders>
              <w:top w:val="single" w:sz="4" w:space="0" w:color="auto"/>
              <w:left w:val="nil"/>
              <w:bottom w:val="single" w:sz="4" w:space="0" w:color="auto"/>
              <w:right w:val="single" w:sz="4" w:space="0" w:color="000000"/>
            </w:tcBorders>
            <w:shd w:val="clear" w:color="auto" w:fill="auto"/>
            <w:vAlign w:val="center"/>
            <w:hideMark/>
          </w:tcPr>
          <w:p w:rsidR="00677BE1" w:rsidRPr="00677BE1" w:rsidRDefault="00677BE1" w:rsidP="00677BE1">
            <w:pPr>
              <w:spacing w:after="0" w:line="240" w:lineRule="auto"/>
              <w:jc w:val="center"/>
              <w:rPr>
                <w:rFonts w:ascii="Calibri" w:eastAsia="Times New Roman" w:hAnsi="Calibri" w:cs="Calibri"/>
                <w:b/>
                <w:bCs/>
                <w:color w:val="000000"/>
                <w:lang w:eastAsia="fr-FR"/>
              </w:rPr>
            </w:pPr>
            <w:r w:rsidRPr="00677BE1">
              <w:rPr>
                <w:rFonts w:ascii="Calibri" w:eastAsia="Times New Roman" w:hAnsi="Calibri" w:cs="Calibri"/>
                <w:b/>
                <w:bCs/>
                <w:color w:val="000000"/>
                <w:lang w:eastAsia="fr-FR"/>
              </w:rPr>
              <w:t>Distribution de l'écart de montants (en points de masse salariale)</w:t>
            </w:r>
          </w:p>
        </w:tc>
      </w:tr>
      <w:tr w:rsidR="00677BE1" w:rsidRPr="00677BE1" w:rsidTr="00677BE1">
        <w:trPr>
          <w:trHeight w:val="405"/>
        </w:trPr>
        <w:tc>
          <w:tcPr>
            <w:tcW w:w="1563" w:type="dxa"/>
            <w:vMerge/>
            <w:tcBorders>
              <w:top w:val="single" w:sz="4" w:space="0" w:color="auto"/>
              <w:left w:val="single" w:sz="4" w:space="0" w:color="auto"/>
              <w:bottom w:val="single" w:sz="4" w:space="0" w:color="auto"/>
              <w:right w:val="single" w:sz="4" w:space="0" w:color="auto"/>
            </w:tcBorders>
            <w:vAlign w:val="center"/>
            <w:hideMark/>
          </w:tcPr>
          <w:p w:rsidR="00677BE1" w:rsidRPr="00677BE1" w:rsidRDefault="00677BE1" w:rsidP="00677BE1">
            <w:pPr>
              <w:spacing w:after="0" w:line="240" w:lineRule="auto"/>
              <w:rPr>
                <w:rFonts w:ascii="Calibri" w:eastAsia="Times New Roman" w:hAnsi="Calibri" w:cs="Calibri"/>
                <w:b/>
                <w:bCs/>
                <w:color w:val="000000"/>
                <w:lang w:eastAsia="fr-FR"/>
              </w:rPr>
            </w:pPr>
          </w:p>
        </w:tc>
        <w:tc>
          <w:tcPr>
            <w:tcW w:w="2080" w:type="dxa"/>
            <w:vMerge/>
            <w:tcBorders>
              <w:top w:val="single" w:sz="4" w:space="0" w:color="auto"/>
              <w:left w:val="single" w:sz="4" w:space="0" w:color="auto"/>
              <w:bottom w:val="single" w:sz="4" w:space="0" w:color="000000"/>
              <w:right w:val="single" w:sz="4" w:space="0" w:color="auto"/>
            </w:tcBorders>
            <w:vAlign w:val="center"/>
            <w:hideMark/>
          </w:tcPr>
          <w:p w:rsidR="00677BE1" w:rsidRPr="00677BE1" w:rsidRDefault="00677BE1" w:rsidP="00677BE1">
            <w:pPr>
              <w:spacing w:after="0" w:line="240" w:lineRule="auto"/>
              <w:rPr>
                <w:rFonts w:ascii="Calibri" w:eastAsia="Times New Roman" w:hAnsi="Calibri" w:cs="Calibri"/>
                <w:b/>
                <w:bCs/>
                <w:color w:val="000000"/>
                <w:lang w:eastAsia="fr-FR"/>
              </w:rPr>
            </w:pPr>
          </w:p>
        </w:tc>
        <w:tc>
          <w:tcPr>
            <w:tcW w:w="1192" w:type="dxa"/>
            <w:tcBorders>
              <w:top w:val="nil"/>
              <w:left w:val="nil"/>
              <w:bottom w:val="single" w:sz="4" w:space="0" w:color="auto"/>
              <w:right w:val="single" w:sz="4" w:space="0" w:color="auto"/>
            </w:tcBorders>
            <w:shd w:val="clear" w:color="auto" w:fill="auto"/>
            <w:vAlign w:val="center"/>
            <w:hideMark/>
          </w:tcPr>
          <w:p w:rsidR="00677BE1" w:rsidRPr="00677BE1" w:rsidRDefault="00677BE1" w:rsidP="00677BE1">
            <w:pPr>
              <w:spacing w:after="0" w:line="240" w:lineRule="auto"/>
              <w:jc w:val="center"/>
              <w:rPr>
                <w:rFonts w:ascii="Calibri" w:eastAsia="Times New Roman" w:hAnsi="Calibri" w:cs="Calibri"/>
                <w:b/>
                <w:bCs/>
                <w:color w:val="000000"/>
                <w:lang w:eastAsia="fr-FR"/>
              </w:rPr>
            </w:pPr>
            <w:r w:rsidRPr="00677BE1">
              <w:rPr>
                <w:rFonts w:ascii="Calibri" w:eastAsia="Times New Roman" w:hAnsi="Calibri" w:cs="Calibri"/>
                <w:b/>
                <w:bCs/>
                <w:color w:val="000000"/>
                <w:lang w:eastAsia="fr-FR"/>
              </w:rPr>
              <w:t>P10</w:t>
            </w:r>
          </w:p>
        </w:tc>
        <w:tc>
          <w:tcPr>
            <w:tcW w:w="1134" w:type="dxa"/>
            <w:gridSpan w:val="2"/>
            <w:tcBorders>
              <w:top w:val="nil"/>
              <w:left w:val="nil"/>
              <w:bottom w:val="single" w:sz="4" w:space="0" w:color="auto"/>
              <w:right w:val="single" w:sz="4" w:space="0" w:color="auto"/>
            </w:tcBorders>
            <w:shd w:val="clear" w:color="auto" w:fill="auto"/>
            <w:vAlign w:val="center"/>
            <w:hideMark/>
          </w:tcPr>
          <w:p w:rsidR="00677BE1" w:rsidRPr="00677BE1" w:rsidRDefault="00677BE1" w:rsidP="00677BE1">
            <w:pPr>
              <w:spacing w:after="0" w:line="240" w:lineRule="auto"/>
              <w:jc w:val="center"/>
              <w:rPr>
                <w:rFonts w:ascii="Calibri" w:eastAsia="Times New Roman" w:hAnsi="Calibri" w:cs="Calibri"/>
                <w:b/>
                <w:bCs/>
                <w:color w:val="000000"/>
                <w:lang w:eastAsia="fr-FR"/>
              </w:rPr>
            </w:pPr>
            <w:r w:rsidRPr="00677BE1">
              <w:rPr>
                <w:rFonts w:ascii="Calibri" w:eastAsia="Times New Roman" w:hAnsi="Calibri" w:cs="Calibri"/>
                <w:b/>
                <w:bCs/>
                <w:color w:val="000000"/>
                <w:lang w:eastAsia="fr-FR"/>
              </w:rPr>
              <w:t>P25</w:t>
            </w:r>
          </w:p>
        </w:tc>
        <w:tc>
          <w:tcPr>
            <w:tcW w:w="1276" w:type="dxa"/>
            <w:tcBorders>
              <w:top w:val="nil"/>
              <w:left w:val="nil"/>
              <w:bottom w:val="single" w:sz="4" w:space="0" w:color="auto"/>
              <w:right w:val="single" w:sz="4" w:space="0" w:color="auto"/>
            </w:tcBorders>
            <w:shd w:val="clear" w:color="auto" w:fill="auto"/>
            <w:vAlign w:val="center"/>
            <w:hideMark/>
          </w:tcPr>
          <w:p w:rsidR="00677BE1" w:rsidRPr="00677BE1" w:rsidRDefault="00677BE1" w:rsidP="00677BE1">
            <w:pPr>
              <w:spacing w:after="0" w:line="240" w:lineRule="auto"/>
              <w:jc w:val="center"/>
              <w:rPr>
                <w:rFonts w:ascii="Calibri" w:eastAsia="Times New Roman" w:hAnsi="Calibri" w:cs="Calibri"/>
                <w:b/>
                <w:bCs/>
                <w:color w:val="000000"/>
                <w:lang w:eastAsia="fr-FR"/>
              </w:rPr>
            </w:pPr>
            <w:r w:rsidRPr="00677BE1">
              <w:rPr>
                <w:rFonts w:ascii="Calibri" w:eastAsia="Times New Roman" w:hAnsi="Calibri" w:cs="Calibri"/>
                <w:b/>
                <w:bCs/>
                <w:color w:val="000000"/>
                <w:lang w:eastAsia="fr-FR"/>
              </w:rPr>
              <w:t>P50</w:t>
            </w:r>
          </w:p>
        </w:tc>
        <w:tc>
          <w:tcPr>
            <w:tcW w:w="850" w:type="dxa"/>
            <w:tcBorders>
              <w:top w:val="nil"/>
              <w:left w:val="nil"/>
              <w:bottom w:val="single" w:sz="4" w:space="0" w:color="auto"/>
              <w:right w:val="single" w:sz="4" w:space="0" w:color="auto"/>
            </w:tcBorders>
            <w:shd w:val="clear" w:color="auto" w:fill="auto"/>
            <w:vAlign w:val="center"/>
            <w:hideMark/>
          </w:tcPr>
          <w:p w:rsidR="00677BE1" w:rsidRPr="00677BE1" w:rsidRDefault="00677BE1" w:rsidP="00677BE1">
            <w:pPr>
              <w:spacing w:after="0" w:line="240" w:lineRule="auto"/>
              <w:jc w:val="center"/>
              <w:rPr>
                <w:rFonts w:ascii="Calibri" w:eastAsia="Times New Roman" w:hAnsi="Calibri" w:cs="Calibri"/>
                <w:b/>
                <w:bCs/>
                <w:color w:val="000000"/>
                <w:lang w:eastAsia="fr-FR"/>
              </w:rPr>
            </w:pPr>
            <w:r w:rsidRPr="00677BE1">
              <w:rPr>
                <w:rFonts w:ascii="Calibri" w:eastAsia="Times New Roman" w:hAnsi="Calibri" w:cs="Calibri"/>
                <w:b/>
                <w:bCs/>
                <w:color w:val="000000"/>
                <w:lang w:eastAsia="fr-FR"/>
              </w:rPr>
              <w:t>P75</w:t>
            </w:r>
          </w:p>
        </w:tc>
        <w:tc>
          <w:tcPr>
            <w:tcW w:w="992" w:type="dxa"/>
            <w:tcBorders>
              <w:top w:val="nil"/>
              <w:left w:val="nil"/>
              <w:bottom w:val="single" w:sz="4" w:space="0" w:color="auto"/>
              <w:right w:val="single" w:sz="4" w:space="0" w:color="auto"/>
            </w:tcBorders>
            <w:shd w:val="clear" w:color="auto" w:fill="auto"/>
            <w:vAlign w:val="center"/>
            <w:hideMark/>
          </w:tcPr>
          <w:p w:rsidR="00677BE1" w:rsidRPr="00677BE1" w:rsidRDefault="00677BE1" w:rsidP="00677BE1">
            <w:pPr>
              <w:spacing w:after="0" w:line="240" w:lineRule="auto"/>
              <w:jc w:val="center"/>
              <w:rPr>
                <w:rFonts w:ascii="Calibri" w:eastAsia="Times New Roman" w:hAnsi="Calibri" w:cs="Calibri"/>
                <w:b/>
                <w:bCs/>
                <w:color w:val="000000"/>
                <w:lang w:eastAsia="fr-FR"/>
              </w:rPr>
            </w:pPr>
            <w:r w:rsidRPr="00677BE1">
              <w:rPr>
                <w:rFonts w:ascii="Calibri" w:eastAsia="Times New Roman" w:hAnsi="Calibri" w:cs="Calibri"/>
                <w:b/>
                <w:bCs/>
                <w:color w:val="000000"/>
                <w:lang w:eastAsia="fr-FR"/>
              </w:rPr>
              <w:t>P90</w:t>
            </w:r>
          </w:p>
        </w:tc>
      </w:tr>
      <w:tr w:rsidR="00677BE1" w:rsidRPr="00677BE1" w:rsidTr="00677BE1">
        <w:trPr>
          <w:trHeight w:val="300"/>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677BE1" w:rsidRPr="00677BE1" w:rsidRDefault="00677BE1" w:rsidP="00677BE1">
            <w:pPr>
              <w:spacing w:after="0" w:line="240" w:lineRule="auto"/>
              <w:jc w:val="center"/>
              <w:rPr>
                <w:rFonts w:ascii="Calibri" w:eastAsia="Times New Roman" w:hAnsi="Calibri" w:cs="Calibri"/>
                <w:color w:val="000000"/>
                <w:lang w:eastAsia="fr-FR"/>
              </w:rPr>
            </w:pPr>
            <w:r w:rsidRPr="00677BE1">
              <w:rPr>
                <w:rFonts w:ascii="Calibri" w:eastAsia="Times New Roman" w:hAnsi="Calibri" w:cs="Calibri"/>
                <w:color w:val="000000"/>
                <w:lang w:eastAsia="fr-FR"/>
              </w:rPr>
              <w:t>1/3*BC*SAL/VA</w:t>
            </w:r>
          </w:p>
        </w:tc>
        <w:tc>
          <w:tcPr>
            <w:tcW w:w="2080" w:type="dxa"/>
            <w:tcBorders>
              <w:top w:val="nil"/>
              <w:left w:val="nil"/>
              <w:bottom w:val="single" w:sz="4" w:space="0" w:color="auto"/>
              <w:right w:val="single" w:sz="4" w:space="0" w:color="auto"/>
            </w:tcBorders>
            <w:shd w:val="clear" w:color="auto" w:fill="auto"/>
            <w:noWrap/>
            <w:vAlign w:val="center"/>
            <w:hideMark/>
          </w:tcPr>
          <w:p w:rsidR="00677BE1" w:rsidRPr="00677BE1" w:rsidRDefault="00677BE1" w:rsidP="00677BE1">
            <w:pPr>
              <w:spacing w:after="0" w:line="240" w:lineRule="auto"/>
              <w:jc w:val="center"/>
              <w:rPr>
                <w:rFonts w:ascii="Calibri" w:eastAsia="Times New Roman" w:hAnsi="Calibri" w:cs="Calibri"/>
                <w:color w:val="000000"/>
                <w:lang w:eastAsia="fr-FR"/>
              </w:rPr>
            </w:pPr>
            <w:r w:rsidRPr="00677BE1">
              <w:rPr>
                <w:rFonts w:ascii="Calibri" w:eastAsia="Times New Roman" w:hAnsi="Calibri" w:cs="Calibri"/>
                <w:color w:val="000000"/>
                <w:lang w:eastAsia="fr-FR"/>
              </w:rPr>
              <w:t>1,0</w:t>
            </w:r>
          </w:p>
        </w:tc>
        <w:tc>
          <w:tcPr>
            <w:tcW w:w="1192" w:type="dxa"/>
            <w:tcBorders>
              <w:top w:val="nil"/>
              <w:left w:val="nil"/>
              <w:bottom w:val="single" w:sz="4" w:space="0" w:color="auto"/>
              <w:right w:val="nil"/>
            </w:tcBorders>
            <w:shd w:val="clear" w:color="auto" w:fill="auto"/>
            <w:noWrap/>
            <w:vAlign w:val="center"/>
            <w:hideMark/>
          </w:tcPr>
          <w:p w:rsidR="00677BE1" w:rsidRPr="00677BE1" w:rsidRDefault="00677BE1" w:rsidP="00677BE1">
            <w:pPr>
              <w:spacing w:after="0" w:line="240" w:lineRule="auto"/>
              <w:jc w:val="center"/>
              <w:rPr>
                <w:rFonts w:ascii="Calibri" w:eastAsia="Times New Roman" w:hAnsi="Calibri" w:cs="Calibri"/>
                <w:color w:val="000000"/>
                <w:lang w:eastAsia="fr-FR"/>
              </w:rPr>
            </w:pPr>
            <w:r w:rsidRPr="00677BE1">
              <w:rPr>
                <w:rFonts w:ascii="Calibri" w:eastAsia="Times New Roman" w:hAnsi="Calibri" w:cs="Calibri"/>
                <w:color w:val="000000"/>
                <w:lang w:eastAsia="fr-FR"/>
              </w:rPr>
              <w:t>-0,8</w:t>
            </w:r>
          </w:p>
        </w:tc>
        <w:tc>
          <w:tcPr>
            <w:tcW w:w="992" w:type="dxa"/>
            <w:tcBorders>
              <w:top w:val="nil"/>
              <w:left w:val="nil"/>
              <w:bottom w:val="single" w:sz="4" w:space="0" w:color="auto"/>
              <w:right w:val="nil"/>
            </w:tcBorders>
            <w:shd w:val="clear" w:color="auto" w:fill="auto"/>
            <w:noWrap/>
            <w:vAlign w:val="center"/>
            <w:hideMark/>
          </w:tcPr>
          <w:p w:rsidR="00677BE1" w:rsidRPr="00677BE1" w:rsidRDefault="00677BE1" w:rsidP="00677BE1">
            <w:pPr>
              <w:spacing w:after="0" w:line="240" w:lineRule="auto"/>
              <w:jc w:val="center"/>
              <w:rPr>
                <w:rFonts w:ascii="Calibri" w:eastAsia="Times New Roman" w:hAnsi="Calibri" w:cs="Calibri"/>
                <w:color w:val="000000"/>
                <w:lang w:eastAsia="fr-FR"/>
              </w:rPr>
            </w:pPr>
            <w:r w:rsidRPr="00677BE1">
              <w:rPr>
                <w:rFonts w:ascii="Calibri" w:eastAsia="Times New Roman" w:hAnsi="Calibri" w:cs="Calibri"/>
                <w:color w:val="000000"/>
                <w:lang w:eastAsia="fr-FR"/>
              </w:rPr>
              <w:t>0,0</w:t>
            </w:r>
          </w:p>
        </w:tc>
        <w:tc>
          <w:tcPr>
            <w:tcW w:w="1418" w:type="dxa"/>
            <w:gridSpan w:val="2"/>
            <w:tcBorders>
              <w:top w:val="nil"/>
              <w:left w:val="nil"/>
              <w:bottom w:val="single" w:sz="4" w:space="0" w:color="auto"/>
              <w:right w:val="nil"/>
            </w:tcBorders>
            <w:shd w:val="clear" w:color="auto" w:fill="auto"/>
            <w:noWrap/>
            <w:vAlign w:val="center"/>
            <w:hideMark/>
          </w:tcPr>
          <w:p w:rsidR="00677BE1" w:rsidRPr="00677BE1" w:rsidRDefault="00677BE1" w:rsidP="00677BE1">
            <w:pPr>
              <w:spacing w:after="0" w:line="240" w:lineRule="auto"/>
              <w:ind w:left="72" w:hanging="72"/>
              <w:jc w:val="center"/>
              <w:rPr>
                <w:rFonts w:ascii="Calibri" w:eastAsia="Times New Roman" w:hAnsi="Calibri" w:cs="Calibri"/>
                <w:color w:val="000000"/>
                <w:lang w:eastAsia="fr-FR"/>
              </w:rPr>
            </w:pPr>
            <w:r w:rsidRPr="00677BE1">
              <w:rPr>
                <w:rFonts w:ascii="Calibri" w:eastAsia="Times New Roman" w:hAnsi="Calibri" w:cs="Calibri"/>
                <w:color w:val="000000"/>
                <w:lang w:eastAsia="fr-FR"/>
              </w:rPr>
              <w:t>0,8</w:t>
            </w:r>
          </w:p>
        </w:tc>
        <w:tc>
          <w:tcPr>
            <w:tcW w:w="850" w:type="dxa"/>
            <w:tcBorders>
              <w:top w:val="nil"/>
              <w:left w:val="nil"/>
              <w:bottom w:val="single" w:sz="4" w:space="0" w:color="auto"/>
              <w:right w:val="nil"/>
            </w:tcBorders>
            <w:shd w:val="clear" w:color="auto" w:fill="auto"/>
            <w:noWrap/>
            <w:vAlign w:val="center"/>
            <w:hideMark/>
          </w:tcPr>
          <w:p w:rsidR="00677BE1" w:rsidRPr="00677BE1" w:rsidRDefault="00677BE1" w:rsidP="00677BE1">
            <w:pPr>
              <w:spacing w:after="0" w:line="240" w:lineRule="auto"/>
              <w:jc w:val="center"/>
              <w:rPr>
                <w:rFonts w:ascii="Calibri" w:eastAsia="Times New Roman" w:hAnsi="Calibri" w:cs="Calibri"/>
                <w:color w:val="000000"/>
                <w:lang w:eastAsia="fr-FR"/>
              </w:rPr>
            </w:pPr>
            <w:r w:rsidRPr="00677BE1">
              <w:rPr>
                <w:rFonts w:ascii="Calibri" w:eastAsia="Times New Roman" w:hAnsi="Calibri" w:cs="Calibri"/>
                <w:color w:val="000000"/>
                <w:lang w:eastAsia="fr-FR"/>
              </w:rPr>
              <w:t>2,2</w:t>
            </w:r>
          </w:p>
        </w:tc>
        <w:tc>
          <w:tcPr>
            <w:tcW w:w="992" w:type="dxa"/>
            <w:tcBorders>
              <w:top w:val="nil"/>
              <w:left w:val="nil"/>
              <w:bottom w:val="single" w:sz="4" w:space="0" w:color="auto"/>
              <w:right w:val="single" w:sz="4" w:space="0" w:color="auto"/>
            </w:tcBorders>
            <w:shd w:val="clear" w:color="auto" w:fill="auto"/>
            <w:noWrap/>
            <w:vAlign w:val="center"/>
            <w:hideMark/>
          </w:tcPr>
          <w:p w:rsidR="00677BE1" w:rsidRPr="00677BE1" w:rsidRDefault="00677BE1" w:rsidP="00677BE1">
            <w:pPr>
              <w:spacing w:after="0" w:line="240" w:lineRule="auto"/>
              <w:jc w:val="center"/>
              <w:rPr>
                <w:rFonts w:ascii="Calibri" w:eastAsia="Times New Roman" w:hAnsi="Calibri" w:cs="Calibri"/>
                <w:color w:val="000000"/>
                <w:lang w:eastAsia="fr-FR"/>
              </w:rPr>
            </w:pPr>
            <w:r w:rsidRPr="00677BE1">
              <w:rPr>
                <w:rFonts w:ascii="Calibri" w:eastAsia="Times New Roman" w:hAnsi="Calibri" w:cs="Calibri"/>
                <w:color w:val="000000"/>
                <w:lang w:eastAsia="fr-FR"/>
              </w:rPr>
              <w:t>4,6</w:t>
            </w:r>
          </w:p>
        </w:tc>
      </w:tr>
    </w:tbl>
    <w:p w:rsidR="00677BE1" w:rsidRPr="003A074F" w:rsidRDefault="00677BE1" w:rsidP="00677BE1">
      <w:pPr>
        <w:suppressAutoHyphens/>
        <w:autoSpaceDE w:val="0"/>
        <w:spacing w:after="0" w:line="240" w:lineRule="auto"/>
        <w:rPr>
          <w:rFonts w:ascii="Arial" w:eastAsia="Times New Roman" w:hAnsi="Arial" w:cs="Arial"/>
          <w:bCs/>
          <w:i/>
          <w:sz w:val="18"/>
          <w:szCs w:val="18"/>
          <w:u w:val="single"/>
          <w:lang w:eastAsia="zh-CN"/>
        </w:rPr>
      </w:pPr>
      <w:r w:rsidRPr="003A074F">
        <w:rPr>
          <w:rFonts w:ascii="Arial" w:eastAsia="Times New Roman" w:hAnsi="Arial" w:cs="Arial"/>
          <w:bCs/>
          <w:i/>
          <w:sz w:val="18"/>
          <w:szCs w:val="18"/>
          <w:u w:val="single"/>
          <w:lang w:eastAsia="zh-CN"/>
        </w:rPr>
        <w:t>Champ :</w:t>
      </w:r>
      <w:r w:rsidRPr="003A074F">
        <w:rPr>
          <w:rFonts w:ascii="Arial" w:eastAsia="Times New Roman" w:hAnsi="Arial" w:cs="Arial"/>
          <w:bCs/>
          <w:i/>
          <w:sz w:val="18"/>
          <w:szCs w:val="18"/>
          <w:lang w:eastAsia="zh-CN"/>
        </w:rPr>
        <w:t xml:space="preserve"> entreprises privées de 50 salariés ou plus, hors secteurs agricole et financier.</w:t>
      </w:r>
    </w:p>
    <w:p w:rsidR="00677BE1" w:rsidRDefault="00677BE1" w:rsidP="00677BE1">
      <w:pPr>
        <w:suppressAutoHyphens/>
        <w:autoSpaceDE w:val="0"/>
        <w:spacing w:after="0" w:line="240" w:lineRule="auto"/>
        <w:rPr>
          <w:rFonts w:ascii="Arial" w:eastAsia="Times New Roman" w:hAnsi="Arial" w:cs="Arial"/>
          <w:bCs/>
          <w:i/>
          <w:sz w:val="18"/>
          <w:szCs w:val="18"/>
          <w:lang w:eastAsia="zh-CN"/>
        </w:rPr>
      </w:pPr>
      <w:r w:rsidRPr="003A074F">
        <w:rPr>
          <w:rFonts w:ascii="Arial" w:eastAsia="Times New Roman" w:hAnsi="Arial" w:cs="Arial"/>
          <w:bCs/>
          <w:i/>
          <w:sz w:val="18"/>
          <w:szCs w:val="18"/>
          <w:u w:val="single"/>
          <w:lang w:eastAsia="zh-CN"/>
        </w:rPr>
        <w:t>Source :</w:t>
      </w:r>
      <w:r w:rsidRPr="003A074F">
        <w:rPr>
          <w:rFonts w:ascii="Arial" w:eastAsia="Times New Roman" w:hAnsi="Arial" w:cs="Arial"/>
          <w:bCs/>
          <w:i/>
          <w:sz w:val="18"/>
          <w:szCs w:val="18"/>
          <w:lang w:eastAsia="zh-CN"/>
        </w:rPr>
        <w:t xml:space="preserve"> Insee - fichier Fare 2015, calculs Dares.</w:t>
      </w:r>
    </w:p>
    <w:p w:rsidR="00677BE1" w:rsidRDefault="00677BE1" w:rsidP="00DE5825">
      <w:pPr>
        <w:jc w:val="both"/>
      </w:pPr>
    </w:p>
    <w:p w:rsidR="00DE5825" w:rsidRDefault="00DE5825" w:rsidP="00DE5825">
      <w:pPr>
        <w:jc w:val="both"/>
      </w:pPr>
      <w:r>
        <w:t xml:space="preserve">L’institution de deux formules de calcul de référence dans le code du travail, même si la traditionnelle aurait gardé la prééminence, n’avait pas été jugée comme une mesure de simplification dans le cadre de la loi </w:t>
      </w:r>
      <w:r w:rsidRPr="00554D9A">
        <w:t>du 6 août 2015 pour la croissance, l'activité et l'égalité des chances économiques</w:t>
      </w:r>
      <w:r>
        <w:t xml:space="preserve">. Dans sa lettre de saisine adressée au Vice-Président du COPIESAS, la ministre du Travail lui a demandé d’expertiser plus avant cette formule simplifiée, entendue cette fois comme substitution à la formule légale de calcul de la RSP. </w:t>
      </w:r>
    </w:p>
    <w:p w:rsidR="00DE5825" w:rsidRDefault="00DE5825" w:rsidP="00DE5825">
      <w:pPr>
        <w:jc w:val="both"/>
      </w:pPr>
      <w:r w:rsidRPr="002C2895">
        <w:t xml:space="preserve">Dans le cas de </w:t>
      </w:r>
      <w:r>
        <w:t>cette</w:t>
      </w:r>
      <w:r w:rsidRPr="002C2895">
        <w:t xml:space="preserve"> formule, qui tient compte de la part des salaires dans la valeur ajoutée, les montants totaux de participation versée augmentent le plus dans les entreprises de 50 à 99 salariés, avec un facteur </w:t>
      </w:r>
      <w:r w:rsidR="000212BA">
        <w:t>2,1</w:t>
      </w:r>
      <w:r w:rsidRPr="002C2895">
        <w:t xml:space="preserve">. </w:t>
      </w:r>
      <w:r>
        <w:t xml:space="preserve">Par ailleurs, </w:t>
      </w:r>
      <w:r w:rsidRPr="002C2895">
        <w:t xml:space="preserve">les montants totaux de participation versée augmentent le plus dans les 30 % d’entreprises de 50 salariés ou plus proposant les rémunérations annuelles moyennes les plus faibles : les montants sont multipliés par </w:t>
      </w:r>
      <w:r w:rsidR="000212BA">
        <w:t>2,4</w:t>
      </w:r>
      <w:r w:rsidRPr="002C2895">
        <w:t>. Au sein de ces mêmes entreprises, la proportion d’entreprises versant de la participation progresse de +</w:t>
      </w:r>
      <w:r w:rsidR="000212BA">
        <w:t> </w:t>
      </w:r>
      <w:r w:rsidRPr="002C2895">
        <w:t>52 points, contre +</w:t>
      </w:r>
      <w:r w:rsidR="000212BA">
        <w:t> 35</w:t>
      </w:r>
      <w:r w:rsidR="000212BA" w:rsidRPr="002C2895">
        <w:t xml:space="preserve"> </w:t>
      </w:r>
      <w:r w:rsidRPr="002C2895">
        <w:t>points en moyenne.</w:t>
      </w:r>
    </w:p>
    <w:p w:rsidR="00DE5825" w:rsidRDefault="00DE5825" w:rsidP="00DE5825">
      <w:pPr>
        <w:jc w:val="both"/>
      </w:pPr>
      <w:r>
        <w:t>Cette option de formule simplifiée n’emporte pas l’adhésion de l’ensemble des membres du COPIESAS, y compris les rédacteurs du rapport 2014 qui préfère une mesure plus radicale de simplification. L’option (1/3 B x S/VA) reste intéressante, mais c’est le second choix du COPIESAS.</w:t>
      </w:r>
    </w:p>
    <w:p w:rsidR="007B54E1" w:rsidRDefault="007B54E1" w:rsidP="00DE5825">
      <w:pPr>
        <w:jc w:val="both"/>
      </w:pPr>
      <w:r>
        <w:t>Enfin, une simple adaptation de la formule de calcul actuelle</w:t>
      </w:r>
      <w:r w:rsidR="00830232">
        <w:t xml:space="preserve"> n’est pas </w:t>
      </w:r>
      <w:r w:rsidR="00155CD8">
        <w:t>apparue</w:t>
      </w:r>
      <w:r w:rsidR="00830232">
        <w:t xml:space="preserve"> à la hauteur des attentes. </w:t>
      </w:r>
      <w:r>
        <w:t>Aujourd’hui, le maintien de la formule de calcul actuelle, même amendée, ne parait pas un choix pertinent à la majorité des membres du COPIESAS.</w:t>
      </w:r>
    </w:p>
    <w:p w:rsidR="00794B97" w:rsidRDefault="00794B97" w:rsidP="00F0270F">
      <w:pPr>
        <w:pStyle w:val="COPIESAS2"/>
      </w:pPr>
      <w:bookmarkStart w:id="74" w:name="_Toc509513828"/>
    </w:p>
    <w:p w:rsidR="00DE5825" w:rsidRDefault="00DE5825" w:rsidP="00F0270F">
      <w:pPr>
        <w:pStyle w:val="COPIESAS2"/>
      </w:pPr>
      <w:r w:rsidRPr="00D0445B">
        <w:lastRenderedPageBreak/>
        <w:t>Moyen n°</w:t>
      </w:r>
      <w:r>
        <w:t>3</w:t>
      </w:r>
      <w:r w:rsidRPr="009A3C48">
        <w:t xml:space="preserve"> : </w:t>
      </w:r>
      <w:r w:rsidRPr="00A3027B">
        <w:t xml:space="preserve">Une formule de calcul </w:t>
      </w:r>
      <w:r>
        <w:t>d’ordre public ou supplétive ?</w:t>
      </w:r>
      <w:bookmarkEnd w:id="74"/>
    </w:p>
    <w:p w:rsidR="00DE5825" w:rsidRDefault="00DE5825" w:rsidP="00DE5825">
      <w:pPr>
        <w:jc w:val="both"/>
      </w:pPr>
      <w:r>
        <w:t>Une fois les pistes de réforme hiérarchisée, le débat du Conseil s’est focalisé sur la place à donner à cette nouvelle formule. De nombreuses voix se sont élevées pour lui garder le statut de formule de droit commun, qui s’imposerait à toutes les entreprises assujetties à la participation. En cas de formule de calcul dérogatoire, la règle de l’équivalence des avantages serait maintenue : toute formule de calcul dérogatoire ne pouvant dégager une RSP inférieure à celle qu’aurait permis de calculer la formule de calcul de droit commun.</w:t>
      </w:r>
    </w:p>
    <w:p w:rsidR="00DE5825" w:rsidRDefault="00DE5825" w:rsidP="00DE5825">
      <w:pPr>
        <w:jc w:val="both"/>
      </w:pPr>
      <w:r>
        <w:t>Cette position ne fait toutefois pas l’unanimité des membres du COPIESAS. Dans le contexte des ordonnances encourageant et modernisant le dialogue social,</w:t>
      </w:r>
      <w:r w:rsidR="00830232">
        <w:t xml:space="preserve"> une minorité de membres souhaite que</w:t>
      </w:r>
      <w:r>
        <w:t xml:space="preserve"> soit considérée la possibilité de laisser la responsabilité à chaque entreprise d’élaborer sa propre formule de calcul de la participation, par voie d’accord d’entreprise selon les modalités de conclusion des accords applicables. A défaut, une formule déterminée par accord au sein de la branche à laquelle appartient l’entreprise s’appliquerait. Ce n’est qu’à titre supplétif, en l’absence de tout accord d’entreprise ou de branche, que la formule de calcul insérée dans le droit du travail s’imposerait à l’entreprise.</w:t>
      </w:r>
    </w:p>
    <w:p w:rsidR="00DE5825" w:rsidRDefault="00DE5825" w:rsidP="00DE5825">
      <w:pPr>
        <w:jc w:val="both"/>
      </w:pPr>
      <w:r>
        <w:t>Si cette option n’est pas écartée, elle ne saurait s’imposer à ce stade à la place d’une participation dont les modalités continueraient à être d’ordre public. Plusieurs membres souhaite</w:t>
      </w:r>
      <w:r w:rsidR="00830232">
        <w:t>nt</w:t>
      </w:r>
      <w:r>
        <w:t xml:space="preserve"> le maintien de la situation juridique actuelle, y compris la règle de l’équivalence des avantages, une minorité souhaite explorer cette piste.</w:t>
      </w:r>
      <w:r w:rsidR="00955BD3">
        <w:t xml:space="preserve"> L</w:t>
      </w:r>
      <w:r w:rsidR="00016FF0">
        <w:t>es membres du COPIESAS conviennent d’</w:t>
      </w:r>
      <w:r w:rsidR="002C54A1">
        <w:t>approfondi</w:t>
      </w:r>
      <w:r w:rsidR="00016FF0">
        <w:t>r ce débat</w:t>
      </w:r>
      <w:r w:rsidR="002C54A1">
        <w:t xml:space="preserve"> </w:t>
      </w:r>
      <w:r w:rsidR="00016FF0">
        <w:t>et de l’inscrire à leur programme de travail</w:t>
      </w:r>
      <w:r w:rsidR="002C54A1">
        <w:t>.</w:t>
      </w:r>
      <w:r w:rsidR="004F36F4">
        <w:t xml:space="preserve"> </w:t>
      </w:r>
      <w:r w:rsidR="00FF6A64">
        <w:t xml:space="preserve">Toutefois, une expérimentation sur le caractère supplétif pourrait être </w:t>
      </w:r>
      <w:r w:rsidR="00F9756F">
        <w:t>envisagée</w:t>
      </w:r>
      <w:r w:rsidR="00FF6A64">
        <w:t xml:space="preserve"> dans le cadre de la période de transition (voir proposition 14).</w:t>
      </w:r>
      <w:r w:rsidR="00955BD3">
        <w:t xml:space="preserve"> Au-delà de cette période, le caractère d’ordre public pourrait être maintenu pour les entreprises légalement assujetti</w:t>
      </w:r>
      <w:r w:rsidR="00811746">
        <w:t>es, et devenir supplétif pour les entreprises de moins de 50 salariés.</w:t>
      </w:r>
      <w:r w:rsidR="000E4AFB">
        <w:t xml:space="preserve"> Cette proposition sera toutefois appréciée à l’aune des conclusions tirées de la période d’expérimentation.</w:t>
      </w:r>
    </w:p>
    <w:p w:rsidR="00016FF0" w:rsidRDefault="00016FF0" w:rsidP="00DE5825">
      <w:pPr>
        <w:jc w:val="both"/>
        <w:rPr>
          <w:i/>
        </w:rPr>
      </w:pPr>
      <w:r>
        <w:t xml:space="preserve">Lors de ce débat pourrait également être abordé la question des critères de répartition par défaut de la participation en cas de régime d’autorité, par exemple en prévoyant </w:t>
      </w:r>
      <w:r w:rsidRPr="00016FF0">
        <w:t>que la répartition s’effectue proportionnellement à la durée de présence uniquement et non plus aux salaires</w:t>
      </w:r>
      <w:r w:rsidRPr="00DB0B1C">
        <w:rPr>
          <w:i/>
        </w:rPr>
        <w:t>.</w:t>
      </w:r>
    </w:p>
    <w:p w:rsidR="00955BD3" w:rsidRPr="00955BD3" w:rsidRDefault="00955BD3" w:rsidP="00955BD3">
      <w:pPr>
        <w:jc w:val="both"/>
      </w:pPr>
    </w:p>
    <w:p w:rsidR="00955BD3" w:rsidRPr="00955BD3" w:rsidRDefault="00955BD3" w:rsidP="00794B97">
      <w:pPr>
        <w:pStyle w:val="COPIESASProposition"/>
      </w:pPr>
      <w:bookmarkStart w:id="75" w:name="_Toc509561898"/>
      <w:bookmarkStart w:id="76" w:name="_Toc509562139"/>
      <w:r w:rsidRPr="00955BD3">
        <w:t>Proposition n°</w:t>
      </w:r>
      <w:r>
        <w:t>1</w:t>
      </w:r>
      <w:r w:rsidR="000E4AFB">
        <w:t>4 bis</w:t>
      </w:r>
      <w:r w:rsidRPr="00955BD3">
        <w:t xml:space="preserve"> : </w:t>
      </w:r>
      <w:r>
        <w:t>Au-delà de la période</w:t>
      </w:r>
      <w:r w:rsidR="00811746">
        <w:t xml:space="preserve"> d’expérimentation, la formule de calcul de droit commun de la participation resterait d’ordre public pour les entreprises d’au moins cinquante salariés, mais deviendrait supplétive pour les entreprises de moins de cinquante salariés.</w:t>
      </w:r>
      <w:bookmarkEnd w:id="75"/>
      <w:bookmarkEnd w:id="76"/>
      <w:r w:rsidR="00811746">
        <w:t xml:space="preserve"> </w:t>
      </w:r>
      <w:r w:rsidRPr="00955BD3">
        <w:t xml:space="preserve"> </w:t>
      </w:r>
    </w:p>
    <w:p w:rsidR="00955BD3" w:rsidRPr="00955BD3" w:rsidRDefault="00955BD3" w:rsidP="00955BD3">
      <w:pPr>
        <w:jc w:val="both"/>
      </w:pPr>
    </w:p>
    <w:p w:rsidR="00DE5825" w:rsidRDefault="00DE5825" w:rsidP="00DE5825">
      <w:pPr>
        <w:jc w:val="both"/>
      </w:pPr>
    </w:p>
    <w:p w:rsidR="00DE5825" w:rsidRPr="00FC1271" w:rsidRDefault="00DE5825" w:rsidP="00993C3C">
      <w:pPr>
        <w:pStyle w:val="COPIESAS1"/>
      </w:pPr>
      <w:r w:rsidRPr="00F85D64">
        <w:br w:type="page"/>
      </w:r>
      <w:bookmarkStart w:id="77" w:name="_Toc509513829"/>
      <w:r w:rsidRPr="00FC1271">
        <w:lastRenderedPageBreak/>
        <w:t>Chapitre 3 : Développer l’investissement à long terme de l’épargne salariale</w:t>
      </w:r>
      <w:bookmarkEnd w:id="77"/>
    </w:p>
    <w:p w:rsidR="00DE5825" w:rsidRDefault="00DE5825" w:rsidP="00DE5825">
      <w:pPr>
        <w:pStyle w:val="Textebrut"/>
        <w:jc w:val="both"/>
        <w:rPr>
          <w:lang w:val="fr-FR"/>
        </w:rPr>
      </w:pPr>
      <w:r>
        <w:rPr>
          <w:lang w:val="fr-FR"/>
        </w:rPr>
        <w:t>Avec un encours de plus de 130 milliards d’euros, l’épargne salariale est regardée comme une source de financement de l’économie productive non négligeable. A</w:t>
      </w:r>
      <w:r w:rsidRPr="00425460">
        <w:rPr>
          <w:lang w:val="fr-FR"/>
        </w:rPr>
        <w:t>u premier semestre 2017</w:t>
      </w:r>
      <w:r>
        <w:rPr>
          <w:lang w:val="fr-FR"/>
        </w:rPr>
        <w:t>, on note que</w:t>
      </w:r>
      <w:r w:rsidRPr="00425460">
        <w:rPr>
          <w:lang w:val="fr-FR"/>
        </w:rPr>
        <w:t xml:space="preserve"> les actions représentent </w:t>
      </w:r>
      <w:r>
        <w:rPr>
          <w:lang w:val="fr-FR"/>
        </w:rPr>
        <w:t>plus de la moitié</w:t>
      </w:r>
      <w:r w:rsidRPr="00425460">
        <w:rPr>
          <w:lang w:val="fr-FR"/>
        </w:rPr>
        <w:t xml:space="preserve"> de l’encours </w:t>
      </w:r>
      <w:r>
        <w:rPr>
          <w:lang w:val="fr-FR"/>
        </w:rPr>
        <w:t xml:space="preserve">détenu par les salariés épargnants. Cette orientation, déjà favorable de l’allocation de l’épargne salariale, pourrait cependant être renforcée en faveur de l’investissement productif. </w:t>
      </w:r>
    </w:p>
    <w:p w:rsidR="00DE5825" w:rsidRDefault="00DE5825" w:rsidP="00DE5825">
      <w:pPr>
        <w:pStyle w:val="Textebrut"/>
        <w:jc w:val="both"/>
        <w:rPr>
          <w:lang w:val="fr-FR"/>
        </w:rPr>
      </w:pPr>
    </w:p>
    <w:p w:rsidR="00DE5825" w:rsidRPr="003A5FBC" w:rsidRDefault="00DE5825" w:rsidP="00F0270F">
      <w:pPr>
        <w:pStyle w:val="COPIESAS2"/>
      </w:pPr>
      <w:bookmarkStart w:id="78" w:name="_Toc509513830"/>
      <w:r w:rsidRPr="003A5FBC">
        <w:t>Constat : des besoins ciblés de financement des entreprises</w:t>
      </w:r>
      <w:bookmarkEnd w:id="78"/>
    </w:p>
    <w:p w:rsidR="00DE5825" w:rsidRDefault="00DE5825" w:rsidP="00DE5825">
      <w:pPr>
        <w:pStyle w:val="Textebrut"/>
        <w:jc w:val="both"/>
        <w:rPr>
          <w:lang w:val="fr-FR"/>
        </w:rPr>
      </w:pPr>
    </w:p>
    <w:p w:rsidR="00DE5825" w:rsidRDefault="00DE5825" w:rsidP="00DE5825">
      <w:pPr>
        <w:pStyle w:val="Textebrut"/>
        <w:jc w:val="both"/>
      </w:pPr>
      <w:r>
        <w:rPr>
          <w:lang w:val="fr-FR"/>
        </w:rPr>
        <w:t>Après quelques années de croissance atone, et au moment où celle-ci redémarre, plusieurs constats peuvent être formulés :</w:t>
      </w:r>
    </w:p>
    <w:p w:rsidR="00DE5825" w:rsidRPr="00655D96" w:rsidRDefault="00DE5825" w:rsidP="00DE5825">
      <w:pPr>
        <w:pStyle w:val="Textebrut"/>
        <w:jc w:val="both"/>
      </w:pPr>
    </w:p>
    <w:p w:rsidR="00DE5825" w:rsidRPr="00231BD0" w:rsidRDefault="00DE5825" w:rsidP="00DE5825">
      <w:pPr>
        <w:pStyle w:val="Textebrut"/>
        <w:numPr>
          <w:ilvl w:val="0"/>
          <w:numId w:val="4"/>
        </w:numPr>
        <w:jc w:val="both"/>
      </w:pPr>
      <w:r w:rsidRPr="00655D96">
        <w:t>il n’y a pas actuellement</w:t>
      </w:r>
      <w:r>
        <w:t xml:space="preserve"> </w:t>
      </w:r>
      <w:r w:rsidRPr="00655D96">
        <w:t>de problème majeur de financement global des entreprises au niveau macroéconomique. Toutefois, deux grandes catégories d’entreprises (particulièrement importantes pour le réamorçage de la croissance français</w:t>
      </w:r>
      <w:r>
        <w:t>e) connaissent des difficultés </w:t>
      </w:r>
      <w:r w:rsidRPr="00553BA2">
        <w:rPr>
          <w:lang w:val="fr-FR"/>
        </w:rPr>
        <w:t xml:space="preserve">: d’une part, les </w:t>
      </w:r>
      <w:r w:rsidRPr="00CE1E15">
        <w:t>TPE, les start-up et d’une manière générale les entreprises les plus jeunes, les plus risquées et les plus innovantes, créatrices des emplois de</w:t>
      </w:r>
      <w:r w:rsidRPr="00553BA2">
        <w:rPr>
          <w:lang w:val="fr-FR"/>
        </w:rPr>
        <w:t xml:space="preserve"> demain ;</w:t>
      </w:r>
      <w:r>
        <w:rPr>
          <w:lang w:val="fr-FR"/>
        </w:rPr>
        <w:t xml:space="preserve"> </w:t>
      </w:r>
      <w:r w:rsidRPr="00553BA2">
        <w:rPr>
          <w:lang w:val="fr-FR"/>
        </w:rPr>
        <w:t xml:space="preserve">d’autre part, des </w:t>
      </w:r>
      <w:r w:rsidRPr="00CE1E15">
        <w:t>PME en phase de croissance, pour financer les investissements utiles à leur développement, et à leur transformation en ETI</w:t>
      </w:r>
      <w:r w:rsidRPr="00553BA2">
        <w:rPr>
          <w:lang w:val="fr-FR"/>
        </w:rPr>
        <w:t>..</w:t>
      </w:r>
    </w:p>
    <w:p w:rsidR="00DE5825" w:rsidRPr="00655D96" w:rsidRDefault="00DE5825" w:rsidP="00DE5825">
      <w:pPr>
        <w:pStyle w:val="Textebrut"/>
        <w:jc w:val="both"/>
      </w:pPr>
    </w:p>
    <w:p w:rsidR="00DE5825" w:rsidRPr="00D30C98" w:rsidRDefault="00DE5825" w:rsidP="00DE5825">
      <w:pPr>
        <w:numPr>
          <w:ilvl w:val="0"/>
          <w:numId w:val="5"/>
        </w:numPr>
        <w:jc w:val="both"/>
        <w:rPr>
          <w:szCs w:val="21"/>
        </w:rPr>
      </w:pPr>
      <w:r w:rsidRPr="00CA5108">
        <w:rPr>
          <w:szCs w:val="21"/>
        </w:rPr>
        <w:t xml:space="preserve">Dans </w:t>
      </w:r>
      <w:r>
        <w:rPr>
          <w:szCs w:val="21"/>
        </w:rPr>
        <w:t>le contexte</w:t>
      </w:r>
      <w:r w:rsidRPr="00CA5108">
        <w:rPr>
          <w:szCs w:val="21"/>
        </w:rPr>
        <w:t xml:space="preserve"> d’une reprise de la croissance, et du fait de leurs nouvelles contraintes de ratios de solvabilité, les banques pourraient alors se trouver en situation de ne pas pouvoir assurer l’entièreté de l’accroissement du besoin de financement des PME. </w:t>
      </w:r>
      <w:r w:rsidRPr="00231BD0">
        <w:rPr>
          <w:szCs w:val="21"/>
        </w:rPr>
        <w:t>Il y aura donc, à plus ou moins brève échéance, un besoin d’outils de financement de marché pour faciliter ou compléter les concours bancaires aux PME.</w:t>
      </w:r>
      <w:r w:rsidRPr="00D30C98">
        <w:rPr>
          <w:szCs w:val="21"/>
        </w:rPr>
        <w:t xml:space="preserve"> </w:t>
      </w:r>
    </w:p>
    <w:p w:rsidR="00DE5825" w:rsidRDefault="00DE5825" w:rsidP="00DE5825">
      <w:pPr>
        <w:jc w:val="both"/>
        <w:rPr>
          <w:b/>
        </w:rPr>
      </w:pPr>
      <w:r>
        <w:t>Par ailleurs, l’épargne salariale doit pouvoir irriguer tous les secteurs de l’économie, au-delà des PME/ETI. Au 30 juin 2017, les actions représentent 55 % de l’encours de l’épargne salariale (en comptant les fonds diversifiés), les fonds monétaires 30 % et les obligations 15 %. Pour autant, avec une part de 45 % des encours investis dans des fonds monétaire ou obligataire, cette orientation de l’épargne</w:t>
      </w:r>
      <w:r w:rsidRPr="00413965">
        <w:t xml:space="preserve"> conjugue actuellement le double désavantage de ne rien rapporter aux salariés et de ne pas bénéficier à l’économie.</w:t>
      </w:r>
    </w:p>
    <w:p w:rsidR="00DE5825" w:rsidRDefault="00DE5825" w:rsidP="00F0270F">
      <w:pPr>
        <w:pStyle w:val="COPIESAS2"/>
      </w:pPr>
      <w:bookmarkStart w:id="79" w:name="_Toc509513831"/>
      <w:r>
        <w:t xml:space="preserve">Quels sont les principaux freins au développement de </w:t>
      </w:r>
      <w:r w:rsidRPr="00425264">
        <w:t>l’investissement à long terme de l’épargne salariale</w:t>
      </w:r>
      <w:r>
        <w:t> ?</w:t>
      </w:r>
      <w:bookmarkEnd w:id="79"/>
      <w:r>
        <w:t xml:space="preserve"> </w:t>
      </w:r>
    </w:p>
    <w:p w:rsidR="00DE5825" w:rsidRPr="00CA5108" w:rsidRDefault="00DE5825" w:rsidP="00DE5825">
      <w:pPr>
        <w:jc w:val="both"/>
      </w:pPr>
      <w:r>
        <w:t>La</w:t>
      </w:r>
      <w:r w:rsidRPr="00E00D94">
        <w:t xml:space="preserve"> volonté des pouvoirs publics d’orienter davantage l’épargne vers le financement de l’économie</w:t>
      </w:r>
      <w:r>
        <w:t xml:space="preserve"> afin de favoriser l’investissement</w:t>
      </w:r>
      <w:r w:rsidRPr="00E00D94">
        <w:t xml:space="preserve">, peut </w:t>
      </w:r>
      <w:r>
        <w:t xml:space="preserve">néanmoins </w:t>
      </w:r>
      <w:r w:rsidRPr="00E00D94">
        <w:t xml:space="preserve">placer les épargnants dans une situation de plus grands risques. </w:t>
      </w:r>
      <w:r>
        <w:t>Or c</w:t>
      </w:r>
      <w:r w:rsidRPr="00231BD0">
        <w:t xml:space="preserve">e n’est </w:t>
      </w:r>
      <w:r>
        <w:t>pas nécessairement à ces derniers</w:t>
      </w:r>
      <w:r w:rsidRPr="00231BD0">
        <w:t xml:space="preserve"> de les assumer. </w:t>
      </w:r>
      <w:r>
        <w:t xml:space="preserve">Pour le </w:t>
      </w:r>
      <w:r w:rsidR="00ED6E24">
        <w:t>COPIESAS</w:t>
      </w:r>
      <w:r>
        <w:t xml:space="preserve">, l’épargnant doit toujours avoir le choix de l’allocation de son épargne, en fonction de ses projets et de son horizon de placement. Quand le salarié n’est pas en mesure d’effectuer un choix éclairé, ses placements sont alors orientés vers des fonds par défaut. Ces derniers doivent être constitués de sorte à présenter un faible risque. </w:t>
      </w:r>
      <w:r w:rsidRPr="00231BD0">
        <w:t xml:space="preserve">Un investissement </w:t>
      </w:r>
      <w:r>
        <w:t xml:space="preserve">dans un fonds comportant des titres </w:t>
      </w:r>
      <w:r w:rsidRPr="00231BD0">
        <w:t>PME, quelle qu’en soit la forme, ne d</w:t>
      </w:r>
      <w:r>
        <w:t>oit</w:t>
      </w:r>
      <w:r w:rsidRPr="00231BD0">
        <w:t xml:space="preserve"> constituer qu’une part </w:t>
      </w:r>
      <w:r>
        <w:t xml:space="preserve">relativement faible </w:t>
      </w:r>
      <w:r w:rsidRPr="00231BD0">
        <w:t>des encours d’épargne salariale.</w:t>
      </w:r>
      <w:r w:rsidRPr="00CA5108">
        <w:rPr>
          <w:b/>
        </w:rPr>
        <w:t xml:space="preserve"> </w:t>
      </w:r>
      <w:r w:rsidRPr="00CA5108">
        <w:t xml:space="preserve">D’autant que le « gisement » de PME/ETI françaises susceptible d’offrir de bonnes </w:t>
      </w:r>
      <w:r w:rsidRPr="00CA5108">
        <w:lastRenderedPageBreak/>
        <w:t>opportunités d’investissements n’est pas infini.</w:t>
      </w:r>
      <w:r>
        <w:t xml:space="preserve"> Il ne serait donc pas nécessairement pertinent de relever le plancher actuel de titres de PME/ETI, car l’aversion au risque est le principal frein de développement de l’épargne longue. Mais pour augmenter le taux d’investissement dans les fonds dédiés aux PME ou aux investissements solidaires et rapprocher ce taux du plafond de 10 % plutôt que du plancher de 7 % ou de 5 %, il conviendrait d’assouplir les règles imposées par l’AMF pour le calcul du ratio plafond, à l’instar de ce qu’a tenté de manière incomplète et imparfaite le décret n° 2017-485 du </w:t>
      </w:r>
      <w:r w:rsidRPr="0019685C">
        <w:t>5 avril 2017 modifiant le cadre juridique de la gestion d’actifs</w:t>
      </w:r>
      <w:r>
        <w:t>, qu’il faudrait revoir en ce sens.</w:t>
      </w:r>
    </w:p>
    <w:p w:rsidR="00DE5825" w:rsidRDefault="00DE5825" w:rsidP="00DE5825">
      <w:pPr>
        <w:jc w:val="both"/>
      </w:pPr>
      <w:r>
        <w:t xml:space="preserve">Dès lors, </w:t>
      </w:r>
      <w:r w:rsidRPr="00D02849">
        <w:t xml:space="preserve">le fléchage vers </w:t>
      </w:r>
      <w:r>
        <w:t>l’économie productive doit se faire dans le cadre sécurisé de l’épargne salariale, en proposant aux salariés information et conseil. Il doit concerner au premier chef le PERCO, dont l’horizon long est le plus à même de générer rentabilité et sécurité dans le cadre de la gestion pilotée.</w:t>
      </w:r>
      <w:r w:rsidRPr="00D02849">
        <w:t xml:space="preserve"> </w:t>
      </w:r>
      <w:r>
        <w:t>Pour ce faire, son cadre doit être stable, car la crainte de changements impromptus en matière fiscale et sociale pourrait déstabiliser le salarié-épargnant. Le rôle du PERCO ne doit pas occulter celui du PEE pour encourager des investissements socialement responsables tenant compte des impératifs sociaux et environnementaux.</w:t>
      </w:r>
    </w:p>
    <w:p w:rsidR="00DE5825" w:rsidRPr="00D02849" w:rsidRDefault="00DE5825" w:rsidP="00DE5825">
      <w:pPr>
        <w:jc w:val="both"/>
      </w:pPr>
    </w:p>
    <w:p w:rsidR="00DE5825" w:rsidRPr="00231BD0" w:rsidRDefault="00DE5825" w:rsidP="00F0270F">
      <w:pPr>
        <w:pStyle w:val="COPIESAS2"/>
      </w:pPr>
      <w:bookmarkStart w:id="80" w:name="_Toc509513832"/>
      <w:r w:rsidRPr="00D0445B">
        <w:t>Moyen n°1</w:t>
      </w:r>
      <w:r w:rsidRPr="009A3C48">
        <w:t> </w:t>
      </w:r>
      <w:r w:rsidRPr="00D10B02">
        <w:t>:</w:t>
      </w:r>
      <w:r w:rsidRPr="00231BD0">
        <w:t xml:space="preserve"> Renforcer l’attractivité de l’épargne retraite</w:t>
      </w:r>
      <w:bookmarkEnd w:id="80"/>
    </w:p>
    <w:p w:rsidR="00DE5825" w:rsidRDefault="00DE5825" w:rsidP="00DE5825">
      <w:pPr>
        <w:jc w:val="both"/>
      </w:pPr>
      <w:r>
        <w:t>D’une façon générale, il convient d’améliorer l’information des Français sur leur future retraite et les moyens offerts pour compléter les régimes par répartition, qui restent le pilier du système de financement de la retraite. Cette information concerne aussi le PERCO qui doit offrir une traçabilité sans ambigüité, notamment dans le cadre de la gestion pilotée. Le gestionnaire doit pouvoir informer le salarié sur les modalités d’investissement et de désensibilisation de son épargne.</w:t>
      </w:r>
    </w:p>
    <w:p w:rsidR="00DE5825" w:rsidRDefault="00DE5825" w:rsidP="00DE5825">
      <w:pPr>
        <w:jc w:val="both"/>
      </w:pPr>
      <w:r>
        <w:t>Afin de renforcer la confiance du salarié et l’inciter à investir son épargne à long terme, il convient de s’assurer de la stabilité du cadre législatif et réglementaire. Ainsi, maintenir la spécificité du PERCO est essentiel : le salarié doit conserver la maitrise de son épargne, même en cas d’investissement long. Il convient donc de ne pas modifier ce qui fait l’originalité du PERCO : le choix de la sortie en rente ou en capital, le choix entre gestion libre et gestion pilotée, l’investissement en entreprises solidaires, les cas de déblocage anticipé, restrictifs mais pertinents,</w:t>
      </w:r>
      <w:r w:rsidRPr="008E5B86">
        <w:t xml:space="preserve"> </w:t>
      </w:r>
      <w:r>
        <w:t>incluant l’acquisition de la résidence principale.</w:t>
      </w:r>
    </w:p>
    <w:p w:rsidR="00DE5825" w:rsidRDefault="00DE5825" w:rsidP="00DE5825">
      <w:pPr>
        <w:jc w:val="both"/>
      </w:pPr>
      <w:r>
        <w:t>Pour renforcer l’attractivité du PERCO, une modulation du forfait social en faveur de l’épargne longue pourrait être envisagée, afin de créer un avantage concurrentiel avec le PEE. Se pose la question d’une modulation plus appropriée du taux de forfait social, qui pourrait être inférieur au taux actuel, à condition que des compensations soient trouvées pour le financement de la retraite par répartition.</w:t>
      </w:r>
    </w:p>
    <w:p w:rsidR="00DE5825" w:rsidRDefault="00DE5825" w:rsidP="00DE5825">
      <w:pPr>
        <w:jc w:val="both"/>
      </w:pPr>
      <w:r>
        <w:t>Enfin, une généralisation du PERCO+ (avec des titres de PME/ETI) permettrait de renforcer significativement l’écosystème des entreprises innovantes, à hauteur de 1 milliard d’euros.</w:t>
      </w:r>
    </w:p>
    <w:p w:rsidR="00DE5825" w:rsidRDefault="00DE5825" w:rsidP="00DE5825">
      <w:pPr>
        <w:jc w:val="both"/>
      </w:pPr>
    </w:p>
    <w:p w:rsidR="00DE5825" w:rsidRPr="00830232" w:rsidRDefault="00DE5825" w:rsidP="00F0270F">
      <w:pPr>
        <w:pStyle w:val="COPIESASProposition"/>
      </w:pPr>
      <w:bookmarkStart w:id="81" w:name="_Toc509330478"/>
      <w:bookmarkStart w:id="82" w:name="_Toc509341620"/>
      <w:bookmarkStart w:id="83" w:name="_Toc509493629"/>
      <w:bookmarkStart w:id="84" w:name="_Toc509561899"/>
      <w:bookmarkStart w:id="85" w:name="_Toc509562140"/>
      <w:r w:rsidRPr="009A3C48">
        <w:lastRenderedPageBreak/>
        <w:t>Proposition n°</w:t>
      </w:r>
      <w:r>
        <w:t>1</w:t>
      </w:r>
      <w:r w:rsidR="002D07AB">
        <w:t>5</w:t>
      </w:r>
      <w:r w:rsidRPr="009A3C48">
        <w:t xml:space="preserve"> : </w:t>
      </w:r>
      <w:r>
        <w:t>Maintenir</w:t>
      </w:r>
      <w:r w:rsidRPr="000937C3">
        <w:t xml:space="preserve"> </w:t>
      </w:r>
      <w:r>
        <w:t xml:space="preserve">et renforcer </w:t>
      </w:r>
      <w:r w:rsidRPr="000937C3">
        <w:t xml:space="preserve">la </w:t>
      </w:r>
      <w:r>
        <w:t xml:space="preserve">spécificité du </w:t>
      </w:r>
      <w:r w:rsidRPr="000937C3">
        <w:t>PERCO</w:t>
      </w:r>
      <w:r w:rsidR="00830232">
        <w:t xml:space="preserve"> et,</w:t>
      </w:r>
      <w:r>
        <w:t xml:space="preserve"> </w:t>
      </w:r>
      <w:r w:rsidRPr="009014A4">
        <w:t>s’agissant de sa fiscalité, de la possibilité de sortie en capital ou de la possibilité de sortie anticipée pour acquisition de la résidence principale</w:t>
      </w:r>
      <w:r w:rsidR="00830232">
        <w:t>, afin de maintenir son attractivité</w:t>
      </w:r>
      <w:r w:rsidRPr="00830232">
        <w:t>.</w:t>
      </w:r>
      <w:bookmarkEnd w:id="81"/>
      <w:bookmarkEnd w:id="82"/>
      <w:bookmarkEnd w:id="83"/>
      <w:bookmarkEnd w:id="84"/>
      <w:bookmarkEnd w:id="85"/>
      <w:r w:rsidRPr="00830232">
        <w:t xml:space="preserve"> </w:t>
      </w:r>
    </w:p>
    <w:p w:rsidR="00DE5825" w:rsidRPr="00802102" w:rsidRDefault="00DE5825" w:rsidP="00F0270F">
      <w:pPr>
        <w:pStyle w:val="COPIESASProposition"/>
      </w:pPr>
      <w:bookmarkStart w:id="86" w:name="_Toc509330479"/>
      <w:bookmarkStart w:id="87" w:name="_Toc509341621"/>
      <w:bookmarkStart w:id="88" w:name="_Toc509493630"/>
      <w:bookmarkStart w:id="89" w:name="_Toc509561900"/>
      <w:bookmarkStart w:id="90" w:name="_Toc509562141"/>
      <w:r w:rsidRPr="009A3C48">
        <w:t>Proposition n°</w:t>
      </w:r>
      <w:r>
        <w:t>1</w:t>
      </w:r>
      <w:r w:rsidR="002D07AB">
        <w:t>6</w:t>
      </w:r>
      <w:r w:rsidRPr="009A3C48">
        <w:t xml:space="preserve"> : </w:t>
      </w:r>
      <w:r>
        <w:t>G</w:t>
      </w:r>
      <w:r w:rsidRPr="000937C3">
        <w:t xml:space="preserve">énéraliser le PERCO Plus </w:t>
      </w:r>
      <w:r>
        <w:t xml:space="preserve">qui prévoit un </w:t>
      </w:r>
      <w:r w:rsidRPr="00802102">
        <w:t>fléchage vers des fonds PME/ETI et y inclure un segment solidaire</w:t>
      </w:r>
      <w:r w:rsidR="00BF2E96">
        <w:t>, y compris au sein de la gestion pilotée.</w:t>
      </w:r>
      <w:r w:rsidR="00BC7DB6">
        <w:t>.</w:t>
      </w:r>
      <w:bookmarkEnd w:id="86"/>
      <w:bookmarkEnd w:id="87"/>
      <w:bookmarkEnd w:id="88"/>
      <w:bookmarkEnd w:id="89"/>
      <w:bookmarkEnd w:id="90"/>
    </w:p>
    <w:p w:rsidR="00DE5825" w:rsidRPr="009A3C48" w:rsidRDefault="00DE5825" w:rsidP="00F0270F">
      <w:pPr>
        <w:pStyle w:val="COPIESASProposition"/>
      </w:pPr>
      <w:bookmarkStart w:id="91" w:name="_Toc509330480"/>
      <w:bookmarkStart w:id="92" w:name="_Toc509341622"/>
      <w:bookmarkStart w:id="93" w:name="_Toc509493631"/>
      <w:bookmarkStart w:id="94" w:name="_Toc509561901"/>
      <w:bookmarkStart w:id="95" w:name="_Toc509562142"/>
      <w:r w:rsidRPr="009A3C48">
        <w:t>Proposition n°</w:t>
      </w:r>
      <w:r>
        <w:t>1</w:t>
      </w:r>
      <w:r w:rsidR="002D07AB">
        <w:t>7</w:t>
      </w:r>
      <w:r w:rsidRPr="009A3C48">
        <w:t> :</w:t>
      </w:r>
      <w:r>
        <w:t xml:space="preserve"> Poursuivre</w:t>
      </w:r>
      <w:r w:rsidRPr="000937C3">
        <w:t xml:space="preserve"> la </w:t>
      </w:r>
      <w:r>
        <w:t>modulation</w:t>
      </w:r>
      <w:r w:rsidRPr="000937C3">
        <w:t xml:space="preserve"> du forfait social </w:t>
      </w:r>
      <w:r>
        <w:t>en faveur du</w:t>
      </w:r>
      <w:r w:rsidRPr="000937C3">
        <w:t xml:space="preserve"> </w:t>
      </w:r>
      <w:r>
        <w:t>nouveau PERCO</w:t>
      </w:r>
      <w:r w:rsidDel="001B09A8">
        <w:t xml:space="preserve"> </w:t>
      </w:r>
      <w:r>
        <w:t>Plus solidaire</w:t>
      </w:r>
      <w:r w:rsidRPr="009A3C48">
        <w:t>.</w:t>
      </w:r>
      <w:bookmarkEnd w:id="91"/>
      <w:bookmarkEnd w:id="92"/>
      <w:bookmarkEnd w:id="93"/>
      <w:bookmarkEnd w:id="94"/>
      <w:bookmarkEnd w:id="95"/>
    </w:p>
    <w:p w:rsidR="00DE5825" w:rsidRDefault="00DE5825" w:rsidP="00DE5825">
      <w:pPr>
        <w:jc w:val="both"/>
      </w:pPr>
    </w:p>
    <w:p w:rsidR="00DE5825" w:rsidRDefault="00DE5825" w:rsidP="00F0270F">
      <w:pPr>
        <w:pStyle w:val="COPIESAS2"/>
      </w:pPr>
      <w:bookmarkStart w:id="96" w:name="_Toc509513833"/>
      <w:r w:rsidRPr="00D0445B">
        <w:t>Moyen n°</w:t>
      </w:r>
      <w:r>
        <w:t>2</w:t>
      </w:r>
      <w:r w:rsidRPr="009A3C48">
        <w:t> :</w:t>
      </w:r>
      <w:r w:rsidRPr="000937C3">
        <w:t xml:space="preserve"> </w:t>
      </w:r>
      <w:r w:rsidRPr="00231BD0">
        <w:t>Renforcer la portabilité des dispositifs d’épargne retraite</w:t>
      </w:r>
      <w:bookmarkEnd w:id="96"/>
    </w:p>
    <w:p w:rsidR="00DE5825" w:rsidRDefault="00DE5825" w:rsidP="00DE5825">
      <w:pPr>
        <w:jc w:val="both"/>
      </w:pPr>
      <w:r>
        <w:t>La confiance dans un dispositif d’épargne retraite collectif d’entreprise comme le PERCO implique que la question de la portabilité soit abordée. L’épargne sur le PERCO est naturellement portable sur un autre PERCO, d’entreprise ou de branche, sans remise en cause de l’indisponibilité ni des avantages spécifiques qui lui sont attachés, encore faut-il que le salarié soit correctement informé. Mais la situation devient moins limpide lorsque le salarié se retrouve dans une entreprise dépourvue de PERCO. Il peut certes garder ses avoirs dans le PERCO de son ancien entreprise, mais les frais de gestion peuvent devenir prohibitifs pour une épargne modeste. Dans ce cas de figure, les frais facturés par les teneurs de compte aux salariés qui ont quitté l’entreprise doivent être identiques à ceux facturés à l’entreprise pour la tenue de compte.</w:t>
      </w:r>
    </w:p>
    <w:p w:rsidR="00DE5825" w:rsidRDefault="00DE5825" w:rsidP="00DE5825">
      <w:pPr>
        <w:jc w:val="both"/>
      </w:pPr>
      <w:r>
        <w:t>Si les PERCO de branche peuvent être une alternative pour les salariés ne disposant pas de plan dans leur entreprise, ils sont insuffisamment développés. Indépendamment de l’obligation de négocier sur les plans d’épargne salariale prévu au chapitre premier, il pourrait être demandé aux partenaires sociaux d’engager une négociation sur un PERCO national interprofessionnel pour assurer une réelle portabilité national pour tous les salariés, qui ainsi, à leur demande, pourrait disposer d’un compte à l’intérieur de plan.</w:t>
      </w:r>
    </w:p>
    <w:p w:rsidR="00DE5825" w:rsidRPr="009F42FC" w:rsidRDefault="00DE5825" w:rsidP="00DE5825">
      <w:pPr>
        <w:jc w:val="both"/>
      </w:pPr>
      <w:r>
        <w:t>Enfin, sans remettre en cause le fonctionnement du PERCO, il conviendrait d’acter que l’investissement par défaut de la participation dans un plan peut généraliser une épargne de très faible montant. En conséquence, les salariés</w:t>
      </w:r>
      <w:r w:rsidR="00830232">
        <w:t>, en cas de changement d’entreprise,</w:t>
      </w:r>
      <w:r>
        <w:t xml:space="preserve"> devraient être autorisés à basculer cette épargne, en dessous d’un montant à définir, vers le plan d’épargne d’entreprise</w:t>
      </w:r>
      <w:r w:rsidR="00830232">
        <w:t xml:space="preserve"> de leur ancien employeur</w:t>
      </w:r>
      <w:r>
        <w:t>, car toute entreprise disposant d’un PERCO dispose également d’un PEE.</w:t>
      </w:r>
    </w:p>
    <w:p w:rsidR="00DE5825" w:rsidRDefault="00DE5825" w:rsidP="00DE5825">
      <w:pPr>
        <w:jc w:val="both"/>
      </w:pPr>
    </w:p>
    <w:p w:rsidR="00DE5825" w:rsidRPr="009A3C48" w:rsidRDefault="00DE5825" w:rsidP="00F0270F">
      <w:pPr>
        <w:pStyle w:val="COPIESASProposition"/>
      </w:pPr>
      <w:bookmarkStart w:id="97" w:name="_Toc509330481"/>
      <w:bookmarkStart w:id="98" w:name="_Toc509341623"/>
      <w:bookmarkStart w:id="99" w:name="_Toc509493632"/>
      <w:bookmarkStart w:id="100" w:name="_Toc509561902"/>
      <w:bookmarkStart w:id="101" w:name="_Toc509562143"/>
      <w:r w:rsidRPr="009A3C48">
        <w:t>Proposition n°</w:t>
      </w:r>
      <w:r w:rsidR="00D30CDA">
        <w:t>1</w:t>
      </w:r>
      <w:r w:rsidR="002D07AB">
        <w:t>8</w:t>
      </w:r>
      <w:r w:rsidR="00D30CDA" w:rsidRPr="009A3C48">
        <w:t> </w:t>
      </w:r>
      <w:r w:rsidRPr="009A3C48">
        <w:t xml:space="preserve">: </w:t>
      </w:r>
      <w:r>
        <w:t xml:space="preserve">Clarifier et généraliser </w:t>
      </w:r>
      <w:r w:rsidRPr="000937C3">
        <w:t>l</w:t>
      </w:r>
      <w:r>
        <w:t>’information sur la portabilité du PERCO au moment du départ de l’entreprise et encadrer les frais de gestion du plan en cas de départ du salarié de son entreprise</w:t>
      </w:r>
      <w:r w:rsidRPr="009A3C48">
        <w:t>.</w:t>
      </w:r>
      <w:bookmarkEnd w:id="97"/>
      <w:bookmarkEnd w:id="98"/>
      <w:bookmarkEnd w:id="99"/>
      <w:bookmarkEnd w:id="100"/>
      <w:bookmarkEnd w:id="101"/>
      <w:r w:rsidRPr="009A3C48">
        <w:t xml:space="preserve"> </w:t>
      </w:r>
    </w:p>
    <w:p w:rsidR="00DE5825" w:rsidRPr="009A3C48" w:rsidRDefault="00DE5825" w:rsidP="00F0270F">
      <w:pPr>
        <w:pStyle w:val="COPIESASProposition"/>
      </w:pPr>
      <w:bookmarkStart w:id="102" w:name="_Toc509330482"/>
      <w:bookmarkStart w:id="103" w:name="_Toc509341624"/>
      <w:bookmarkStart w:id="104" w:name="_Toc509493633"/>
      <w:bookmarkStart w:id="105" w:name="_Toc509561903"/>
      <w:bookmarkStart w:id="106" w:name="_Toc509562144"/>
      <w:r w:rsidRPr="009A3C48">
        <w:t>Proposition n°</w:t>
      </w:r>
      <w:r w:rsidR="002D07AB">
        <w:t>19</w:t>
      </w:r>
      <w:r w:rsidRPr="009A3C48">
        <w:t xml:space="preserve"> : </w:t>
      </w:r>
      <w:r>
        <w:t>Impulser une négociation nationale sur le PERCO.</w:t>
      </w:r>
      <w:bookmarkEnd w:id="102"/>
      <w:bookmarkEnd w:id="103"/>
      <w:bookmarkEnd w:id="104"/>
      <w:bookmarkEnd w:id="105"/>
      <w:bookmarkEnd w:id="106"/>
      <w:r>
        <w:t xml:space="preserve"> </w:t>
      </w:r>
      <w:r w:rsidRPr="000937C3">
        <w:t xml:space="preserve"> </w:t>
      </w:r>
    </w:p>
    <w:p w:rsidR="00DE5825" w:rsidRPr="009A3C48" w:rsidRDefault="00DE5825" w:rsidP="00F0270F">
      <w:pPr>
        <w:pStyle w:val="COPIESASProposition"/>
      </w:pPr>
      <w:bookmarkStart w:id="107" w:name="_Toc509330483"/>
      <w:bookmarkStart w:id="108" w:name="_Toc509341625"/>
      <w:bookmarkStart w:id="109" w:name="_Toc509493634"/>
      <w:bookmarkStart w:id="110" w:name="_Toc509561904"/>
      <w:bookmarkStart w:id="111" w:name="_Toc509562145"/>
      <w:r w:rsidRPr="009A3C48">
        <w:lastRenderedPageBreak/>
        <w:t>Proposition n°</w:t>
      </w:r>
      <w:r>
        <w:t>2</w:t>
      </w:r>
      <w:r w:rsidR="002D07AB">
        <w:t>0</w:t>
      </w:r>
      <w:r w:rsidRPr="009A3C48">
        <w:t xml:space="preserve"> : </w:t>
      </w:r>
      <w:r w:rsidR="00830232">
        <w:t>En cas de départ vers une entreprise ne disposant pas de PERCO, p</w:t>
      </w:r>
      <w:r>
        <w:t>ermettre</w:t>
      </w:r>
      <w:r w:rsidR="00830232">
        <w:t xml:space="preserve"> aux salariés ayant des</w:t>
      </w:r>
      <w:r w:rsidR="00155CD8">
        <w:t xml:space="preserve"> </w:t>
      </w:r>
      <w:r>
        <w:t>avoirs de faible montant investis sur le PERCO d</w:t>
      </w:r>
      <w:r w:rsidR="00830232">
        <w:t>e les</w:t>
      </w:r>
      <w:r>
        <w:t xml:space="preserve"> bascul</w:t>
      </w:r>
      <w:r w:rsidR="00830232">
        <w:t>er</w:t>
      </w:r>
      <w:r>
        <w:t xml:space="preserve"> vers le PEE</w:t>
      </w:r>
      <w:r w:rsidR="00830232">
        <w:t xml:space="preserve"> de l’ancien employeur</w:t>
      </w:r>
      <w:r w:rsidRPr="009A3C48">
        <w:t>.</w:t>
      </w:r>
      <w:bookmarkEnd w:id="107"/>
      <w:bookmarkEnd w:id="108"/>
      <w:bookmarkEnd w:id="109"/>
      <w:bookmarkEnd w:id="110"/>
      <w:bookmarkEnd w:id="111"/>
    </w:p>
    <w:p w:rsidR="00DE5825" w:rsidRDefault="00DE5825" w:rsidP="00DE5825">
      <w:pPr>
        <w:jc w:val="both"/>
      </w:pPr>
    </w:p>
    <w:p w:rsidR="00DE5825" w:rsidRPr="003A530C" w:rsidRDefault="00DE5825" w:rsidP="00F0270F">
      <w:pPr>
        <w:pStyle w:val="COPIESAS2"/>
      </w:pPr>
      <w:bookmarkStart w:id="112" w:name="_Toc509513834"/>
      <w:r w:rsidRPr="00D0445B">
        <w:t>Moyen n°</w:t>
      </w:r>
      <w:r>
        <w:t>3</w:t>
      </w:r>
      <w:r w:rsidRPr="009A3C48">
        <w:t> :</w:t>
      </w:r>
      <w:r w:rsidRPr="000937C3">
        <w:t xml:space="preserve"> </w:t>
      </w:r>
      <w:r w:rsidRPr="00231BD0">
        <w:t xml:space="preserve">Orienter l’épargne salariale de long terme vers des investissements responsables et </w:t>
      </w:r>
      <w:r w:rsidRPr="003A530C">
        <w:t>solidaires et vers l’économie productive</w:t>
      </w:r>
      <w:bookmarkEnd w:id="112"/>
      <w:r w:rsidRPr="003A530C">
        <w:t xml:space="preserve"> </w:t>
      </w:r>
    </w:p>
    <w:p w:rsidR="00DE5825" w:rsidRDefault="00DE5825" w:rsidP="00DE5825">
      <w:pPr>
        <w:jc w:val="both"/>
      </w:pPr>
      <w:r>
        <w:t>L’épargne à long terme n’est pas limitée au PERCO. Les salariés laissent leurs avoirs sur un PEE bien au-delà des 5 ans d’indisponibilité. Dès lors, l’investissement productif doit viser aussi bien l’un et l’autre plan d’épargne. Or, l’investissement des salariés dans l’un comme dans l’autre plan est trop souvent orienté vers les fonds monétaires. Le PERCO, surtout s’il est généralisé, règle la question avec la gestion pilotée. Or, comme il l’a été dit dans la présentation de la proposition n°9, la gestion pilotée n’est pas une solution adéquate pour le PEE. Dès lors, il conviendrait de concilier dans un fonds par défaut l’exigence d’investissement productif et celui d’investissement social, dans les entreprises solidaires. Il pourrait donc être proposé comme fonds par défaut du PEE un fonds prudent 90 % ISR</w:t>
      </w:r>
      <w:r w:rsidR="00F01031">
        <w:t xml:space="preserve"> et</w:t>
      </w:r>
      <w:r>
        <w:t xml:space="preserve"> 10 % investissements solidaires. </w:t>
      </w:r>
    </w:p>
    <w:p w:rsidR="00DE5825" w:rsidRDefault="00DE5825" w:rsidP="00DE5825">
      <w:pPr>
        <w:jc w:val="both"/>
      </w:pPr>
      <w:r>
        <w:t>Par ailleurs, l’investissement socialement responsable pourrait devenir la norme des fonds d’épargne salariale. Selon des formes et dans des délais compatibles avec une bonne gestion financière, l’épargne salariale pourrait basculer à terme vers une gestion intégralement ou majoritairement ISR, sans remettre en cause la spécificité ni des entreprises ni des fonds solidaires. Enfin, il pourrait être pris en considération la demande du ministre de l’environnement du 26 avril 2016, proposant au COPIESAS de mettre l’épargne salariale au service de la croissance verte. Sans imposer des fonds verts dans tous les plans d’épargne, comme pour les fonds solidaires, ceux-ci pourraient être encouragés, sous réserve d’expertise et d’une labellisation minimale</w:t>
      </w:r>
      <w:r w:rsidRPr="008E5B86">
        <w:t xml:space="preserve"> </w:t>
      </w:r>
      <w:r>
        <w:t>telle que la labellisation TEEC, également d’origine publique.</w:t>
      </w:r>
    </w:p>
    <w:p w:rsidR="00DE5825" w:rsidRDefault="00DE5825" w:rsidP="00DE5825">
      <w:pPr>
        <w:jc w:val="both"/>
      </w:pPr>
      <w:r>
        <w:t xml:space="preserve">Afin de favoriser l’investissement du salarié et gagner/garder sa confiance, devra être toutefois </w:t>
      </w:r>
      <w:r w:rsidRPr="008E5B86">
        <w:t>améliorée la « guidance » des salariés, souvent évoquée dans le cadre du Conseil. Les salariés ne peuvent en effet être les seuls épargnants à ne pas en disposer de manière personnalisée</w:t>
      </w:r>
      <w:r>
        <w:t xml:space="preserve">. </w:t>
      </w:r>
      <w:r w:rsidRPr="008768E3">
        <w:t>Cette situation perdure, sans doute parce qu</w:t>
      </w:r>
      <w:r>
        <w:t>e plusieurs solutions sont</w:t>
      </w:r>
      <w:r w:rsidRPr="008768E3">
        <w:t xml:space="preserve"> envisageables quant à la personne physique ou morale susceptible d’assurer ce conseil et/ou quant à la structure en mesure d’en supporter le coût</w:t>
      </w:r>
      <w:r>
        <w:t>. D</w:t>
      </w:r>
      <w:r w:rsidRPr="008768E3">
        <w:t>es risques de conflits d’intérêt évidents se posent</w:t>
      </w:r>
      <w:r>
        <w:t xml:space="preserve"> également.</w:t>
      </w:r>
      <w:r w:rsidRPr="008768E3">
        <w:t xml:space="preserve"> </w:t>
      </w:r>
      <w:r>
        <w:t>Pour autant il convient de mettre enfin</w:t>
      </w:r>
      <w:r w:rsidRPr="008768E3">
        <w:t xml:space="preserve"> en place dans les entreprises disposant d’un PEE</w:t>
      </w:r>
      <w:r>
        <w:t>,</w:t>
      </w:r>
      <w:r w:rsidRPr="008768E3">
        <w:t xml:space="preserve"> d’un PEI </w:t>
      </w:r>
      <w:r>
        <w:t xml:space="preserve">ou d’un PERCO </w:t>
      </w:r>
      <w:r w:rsidRPr="008768E3">
        <w:t>une offre d</w:t>
      </w:r>
      <w:r>
        <w:t>’aide à la décision</w:t>
      </w:r>
      <w:r w:rsidRPr="008768E3">
        <w:t xml:space="preserve"> aux épargnants salariés. Cette action d</w:t>
      </w:r>
      <w:r>
        <w:t>’aide à la décision</w:t>
      </w:r>
      <w:r w:rsidRPr="008768E3">
        <w:t xml:space="preserve"> devrait être assurée par un professionnel habilité</w:t>
      </w:r>
      <w:r w:rsidR="00155CD8">
        <w:t>, indépendant de la société de gestion</w:t>
      </w:r>
      <w:r>
        <w:t>.</w:t>
      </w:r>
      <w:r w:rsidRPr="008768E3">
        <w:t xml:space="preserve"> </w:t>
      </w:r>
      <w:r>
        <w:t>Les</w:t>
      </w:r>
      <w:r w:rsidRPr="008768E3">
        <w:t xml:space="preserve"> coûts </w:t>
      </w:r>
      <w:r>
        <w:t xml:space="preserve">inhérents pourraient être pris </w:t>
      </w:r>
      <w:r w:rsidRPr="008768E3">
        <w:t xml:space="preserve">sur le budget de la formation professionnelle. Plafonner ces coûts et organiser leur partage entre l’entreprise et le salarié pourrait </w:t>
      </w:r>
      <w:r>
        <w:t>également</w:t>
      </w:r>
      <w:r w:rsidRPr="008768E3">
        <w:t xml:space="preserve"> être envisagé.</w:t>
      </w:r>
      <w:r>
        <w:t xml:space="preserve"> </w:t>
      </w:r>
    </w:p>
    <w:p w:rsidR="00DE5825" w:rsidRDefault="00DE5825" w:rsidP="00DE5825">
      <w:pPr>
        <w:jc w:val="both"/>
      </w:pPr>
    </w:p>
    <w:p w:rsidR="00611B3B" w:rsidRDefault="00DE5825" w:rsidP="00794B97">
      <w:pPr>
        <w:pStyle w:val="COPIESASProposition"/>
      </w:pPr>
      <w:bookmarkStart w:id="113" w:name="_Toc509493635"/>
      <w:bookmarkStart w:id="114" w:name="_Toc509561905"/>
      <w:bookmarkStart w:id="115" w:name="_Toc509562146"/>
      <w:r w:rsidRPr="009A3C48">
        <w:t>Proposition n°</w:t>
      </w:r>
      <w:r>
        <w:t>2</w:t>
      </w:r>
      <w:r w:rsidR="002D07AB">
        <w:t>1</w:t>
      </w:r>
      <w:r w:rsidRPr="009A3C48">
        <w:t xml:space="preserve"> : </w:t>
      </w:r>
      <w:r>
        <w:t>F</w:t>
      </w:r>
      <w:r w:rsidRPr="003B4B46">
        <w:t xml:space="preserve">avoriser l’investissement en actions </w:t>
      </w:r>
      <w:r>
        <w:t xml:space="preserve">et en titres d’entreprises solidaires </w:t>
      </w:r>
      <w:r w:rsidRPr="003B4B46">
        <w:t>plutôt qu’en titres du marché monétaire</w:t>
      </w:r>
      <w:r>
        <w:t xml:space="preserve"> </w:t>
      </w:r>
      <w:r w:rsidR="00BA50DC">
        <w:t>en proposant un fonds prudent par défaut investi à 90% en ISR et à 10% en solidaire.</w:t>
      </w:r>
      <w:bookmarkEnd w:id="113"/>
      <w:bookmarkEnd w:id="114"/>
      <w:bookmarkEnd w:id="115"/>
      <w:r w:rsidR="00BA50DC">
        <w:t xml:space="preserve"> </w:t>
      </w:r>
    </w:p>
    <w:p w:rsidR="00DE5825" w:rsidRPr="009A3C48" w:rsidRDefault="00DE5825" w:rsidP="00794B97">
      <w:pPr>
        <w:pStyle w:val="COPIESASProposition"/>
      </w:pPr>
      <w:bookmarkStart w:id="116" w:name="_Toc509493636"/>
      <w:bookmarkStart w:id="117" w:name="_Toc509561906"/>
      <w:bookmarkStart w:id="118" w:name="_Toc509562147"/>
      <w:r w:rsidRPr="009A3C48">
        <w:lastRenderedPageBreak/>
        <w:t>Proposition n°</w:t>
      </w:r>
      <w:r>
        <w:t>2</w:t>
      </w:r>
      <w:r w:rsidR="002D07AB">
        <w:t>2</w:t>
      </w:r>
      <w:r>
        <w:t> : Mettre en place une gestion adaptée de la sortie des PERCO en fonction des projets d’utilisation de son épargne par le salarié, en lui permettant de retarder la désensibilisation au risque action pilotée de son PERCO</w:t>
      </w:r>
      <w:r w:rsidRPr="009A3C48">
        <w:t>.</w:t>
      </w:r>
      <w:bookmarkEnd w:id="116"/>
      <w:bookmarkEnd w:id="117"/>
      <w:bookmarkEnd w:id="118"/>
    </w:p>
    <w:p w:rsidR="00DE5825" w:rsidRDefault="00DE5825" w:rsidP="00794B97">
      <w:pPr>
        <w:pStyle w:val="COPIESASProposition"/>
      </w:pPr>
      <w:bookmarkStart w:id="119" w:name="_Toc509493637"/>
      <w:bookmarkStart w:id="120" w:name="_Toc509561907"/>
      <w:bookmarkStart w:id="121" w:name="_Toc509562148"/>
      <w:r w:rsidRPr="009A3C48">
        <w:t>Proposition n°</w:t>
      </w:r>
      <w:r>
        <w:t>2</w:t>
      </w:r>
      <w:r w:rsidR="002D07AB">
        <w:t>3</w:t>
      </w:r>
      <w:r w:rsidRPr="009A3C48">
        <w:t xml:space="preserve"> : </w:t>
      </w:r>
      <w:r>
        <w:t>Prévoir des fonds disposant impérativement d’une gestion socialement responsable ou labellisée « transition écologique et climat » dans les fonds d’épargne salariale</w:t>
      </w:r>
      <w:r w:rsidRPr="003B4B46">
        <w:t xml:space="preserve"> </w:t>
      </w:r>
      <w:r w:rsidRPr="00802102">
        <w:t xml:space="preserve">(PEE et PERCO) </w:t>
      </w:r>
      <w:r>
        <w:t>et p</w:t>
      </w:r>
      <w:r w:rsidRPr="00802102">
        <w:t>révoir l’orientation par défaut du salarié dans le PEE vers un fonds prudent solidaire.</w:t>
      </w:r>
      <w:bookmarkEnd w:id="119"/>
      <w:bookmarkEnd w:id="120"/>
      <w:bookmarkEnd w:id="121"/>
    </w:p>
    <w:p w:rsidR="00DE5825" w:rsidRPr="009A3C48" w:rsidRDefault="00DE5825" w:rsidP="00794B97">
      <w:pPr>
        <w:pStyle w:val="COPIESASProposition"/>
      </w:pPr>
      <w:bookmarkStart w:id="122" w:name="_Toc509493638"/>
      <w:bookmarkStart w:id="123" w:name="_Toc509561908"/>
      <w:bookmarkStart w:id="124" w:name="_Toc509562149"/>
      <w:r w:rsidRPr="009A3C48">
        <w:t>Proposition n°</w:t>
      </w:r>
      <w:r>
        <w:t>2</w:t>
      </w:r>
      <w:r w:rsidR="002D07AB">
        <w:t>4</w:t>
      </w:r>
      <w:r>
        <w:t> : Instaurer une aide à la décision en faveur du salarié-épargnant pour le guider dans ses investissements</w:t>
      </w:r>
      <w:r w:rsidRPr="000937C3">
        <w:t>.</w:t>
      </w:r>
      <w:bookmarkEnd w:id="122"/>
      <w:bookmarkEnd w:id="123"/>
      <w:bookmarkEnd w:id="124"/>
    </w:p>
    <w:p w:rsidR="00DE5825" w:rsidRDefault="00DE5825" w:rsidP="00DE5825">
      <w:r>
        <w:br w:type="page"/>
      </w:r>
    </w:p>
    <w:p w:rsidR="00DE5825" w:rsidRPr="00A93A9D" w:rsidRDefault="00DE5825" w:rsidP="00993C3C">
      <w:pPr>
        <w:pStyle w:val="COPIESAS1"/>
      </w:pPr>
      <w:bookmarkStart w:id="125" w:name="_Toc509513835"/>
      <w:r w:rsidRPr="00A93A9D">
        <w:lastRenderedPageBreak/>
        <w:t>Chapitre 4 : Développer l’attractivité de l’actionnariat salarié et améliorer la gouvernance</w:t>
      </w:r>
      <w:bookmarkEnd w:id="125"/>
    </w:p>
    <w:p w:rsidR="00DE5825" w:rsidRPr="00DA25FD" w:rsidRDefault="00DE5825" w:rsidP="00DE5825">
      <w:pPr>
        <w:jc w:val="both"/>
      </w:pPr>
      <w:r w:rsidRPr="00DA25FD">
        <w:t>La présence de salariés dans le capital est un facteur de performance pour l’entreprise, car elle renforce leur motivation</w:t>
      </w:r>
      <w:r>
        <w:t>, d’autant plus</w:t>
      </w:r>
      <w:r w:rsidRPr="00DA25FD">
        <w:t xml:space="preserve"> si ces petits porteurs pas comme les autres siègent au conseil d’administration.</w:t>
      </w:r>
      <w:r>
        <w:t xml:space="preserve"> </w:t>
      </w:r>
    </w:p>
    <w:p w:rsidR="00DE5825" w:rsidRPr="00DA25FD" w:rsidRDefault="00DE5825" w:rsidP="00DE5825">
      <w:pPr>
        <w:jc w:val="both"/>
      </w:pPr>
      <w:r w:rsidRPr="00DA25FD">
        <w:t>Les 3,5 millions d’actionnaires salariés sont des actionnaires presque comme les autres. Aux côtés des 3,3 millions d’actionnaires individuels, eux aussi réputés fidèles, ils constituent un actionnariat stable. Mais la différence est de taille : copropriétaires de l’entreprise qui les emploie, ils sont plus motivés, plus performants. Ils ont également intérêt à militer pour un développement durable de la société dont dépend leur emploi. Une culture du long terme précieuse à l’heure où de plus en plus d’investisseurs poussent les dirigeants à renoncer à des projets créateurs de valeur pour remplir des objectifs trimestriels.</w:t>
      </w:r>
    </w:p>
    <w:p w:rsidR="00DE5825" w:rsidRDefault="00DE5825" w:rsidP="00DE5825">
      <w:pPr>
        <w:jc w:val="both"/>
      </w:pPr>
      <w:r w:rsidRPr="00DA25FD">
        <w:t>De plus, selon les responsables de l’indice boursier de l’actionnariat salarié (IAS), « à partir d’un taux d’actionnariat salarié de 5 % du capital, les effets se font sentir sur la performance boursière à trois ans ». Ce taux est en moyenne de 6,8 % pour les sociétés de l’indice IAS, contre 3,4 % pour le Cac 40. Certains fonds en tiennent compte, dont le portefeuille est concentré sur les sociétés à fort actionnariat salarié.</w:t>
      </w:r>
    </w:p>
    <w:p w:rsidR="00DE5825" w:rsidRPr="00DA25FD" w:rsidRDefault="00DE5825" w:rsidP="00DE5825">
      <w:pPr>
        <w:jc w:val="both"/>
      </w:pPr>
      <w:r>
        <w:t>Cependant, les mesures en faveur du développement de l’actionnariat salarié doivent être appréhendées dans un souci d’équité</w:t>
      </w:r>
      <w:r w:rsidRPr="00D9118C">
        <w:t xml:space="preserve"> de la distribution des actions</w:t>
      </w:r>
      <w:r>
        <w:t>. En effet, l</w:t>
      </w:r>
      <w:r w:rsidRPr="00D9118C">
        <w:t>a majorité des actions distribuées au sein de l’entreprise revient en général aux cadres dirigeants des entreprises. Les incitations nouvelles devraient donc être conditionnées à la mise en œuvre d’offres collectives ouvertes à l’ensemble des salariés impliquant également un accès égalitaire aux actions distribuées. Par ailleurs, il est indispensable en la matière de rappeler que le salarié</w:t>
      </w:r>
      <w:r w:rsidRPr="001C2E81">
        <w:t xml:space="preserve"> actionnaire n’est pas </w:t>
      </w:r>
      <w:r>
        <w:t>un actionnaire comme les autres</w:t>
      </w:r>
      <w:r w:rsidRPr="001C2E81">
        <w:t xml:space="preserve">, la préservation de </w:t>
      </w:r>
      <w:r>
        <w:t>son</w:t>
      </w:r>
      <w:r w:rsidRPr="001C2E81">
        <w:t xml:space="preserve"> emploi et l’amélioration de </w:t>
      </w:r>
      <w:r>
        <w:t>sa</w:t>
      </w:r>
      <w:r w:rsidRPr="001C2E81">
        <w:t xml:space="preserve"> rémunération </w:t>
      </w:r>
      <w:r>
        <w:t>constituant pour lui des objectifs qui priment sur les seuls</w:t>
      </w:r>
      <w:r w:rsidRPr="001C2E81">
        <w:t xml:space="preserve"> intérêts patrimoniaux.</w:t>
      </w:r>
    </w:p>
    <w:p w:rsidR="00DE5825" w:rsidRPr="00E76EE7" w:rsidRDefault="00DE5825" w:rsidP="00DE5825">
      <w:pPr>
        <w:jc w:val="both"/>
        <w:rPr>
          <w:b/>
        </w:rPr>
      </w:pPr>
    </w:p>
    <w:p w:rsidR="00DE5825" w:rsidRPr="00287279" w:rsidRDefault="00DE5825" w:rsidP="00F0270F">
      <w:pPr>
        <w:pStyle w:val="COPIESAS2"/>
        <w:rPr>
          <w:lang w:eastAsia="fr-FR"/>
        </w:rPr>
      </w:pPr>
      <w:bookmarkStart w:id="126" w:name="_Toc509513836"/>
      <w:r>
        <w:rPr>
          <w:lang w:eastAsia="fr-FR"/>
        </w:rPr>
        <w:t>Constat : l’actionnariat salarié très développé en France, dans des entreprises plus performantes</w:t>
      </w:r>
      <w:bookmarkEnd w:id="126"/>
    </w:p>
    <w:p w:rsidR="00DE5825" w:rsidRPr="003969D1" w:rsidRDefault="00DE5825" w:rsidP="00DE5825">
      <w:pPr>
        <w:spacing w:before="100" w:beforeAutospacing="1" w:after="100" w:afterAutospacing="1" w:line="240" w:lineRule="auto"/>
        <w:jc w:val="both"/>
        <w:rPr>
          <w:rFonts w:eastAsia="Times New Roman" w:cstheme="minorHAnsi"/>
          <w:lang w:eastAsia="fr-FR"/>
        </w:rPr>
      </w:pPr>
      <w:r w:rsidRPr="003969D1">
        <w:rPr>
          <w:rFonts w:eastAsia="Times New Roman" w:cstheme="minorHAnsi"/>
          <w:lang w:eastAsia="fr-FR"/>
        </w:rPr>
        <w:t>Les valeurs appartenant à l’indice boursier de l’actionnariat salarié (</w:t>
      </w:r>
      <w:hyperlink r:id="rId15" w:tooltip="Le cours en direct de l'action EURONEXT à la bourse de Paris" w:history="1">
        <w:r w:rsidRPr="003969D1">
          <w:rPr>
            <w:rFonts w:eastAsia="Times New Roman" w:cstheme="minorHAnsi"/>
            <w:lang w:eastAsia="fr-FR"/>
          </w:rPr>
          <w:t>Euronext</w:t>
        </w:r>
      </w:hyperlink>
      <w:r w:rsidRPr="003969D1">
        <w:rPr>
          <w:rFonts w:eastAsia="Times New Roman" w:cstheme="minorHAnsi"/>
          <w:lang w:eastAsia="fr-FR"/>
        </w:rPr>
        <w:t xml:space="preserve"> FAS IAS), créé en 1999, sont choisies au sein des 310 titres du Cac All-Tradable (ex-SBF 250). Leur pondération, plafonnée à 15 %, est établie depuis juin 2013 en fonction de la part du capital détenue par les salariés (et non plus selon la part flottante). Cette proportion doit atteindre 3 % pour que l’entreprise soit éligible. De plus, 15 % des salariés doivent être actionnaires, dont 25 % de l’effectif en France. La composition de l’indice est révisée chaque trimestre. Ainsi, une 29</w:t>
      </w:r>
      <w:r w:rsidRPr="003969D1">
        <w:rPr>
          <w:rFonts w:eastAsia="Times New Roman" w:cstheme="minorHAnsi"/>
          <w:vertAlign w:val="superscript"/>
          <w:lang w:eastAsia="fr-FR"/>
        </w:rPr>
        <w:t>e</w:t>
      </w:r>
      <w:r w:rsidRPr="003969D1">
        <w:rPr>
          <w:rFonts w:eastAsia="Times New Roman" w:cstheme="minorHAnsi"/>
          <w:lang w:eastAsia="fr-FR"/>
        </w:rPr>
        <w:t xml:space="preserve"> valeur, Capgemini, vient d’être admise. Ces dernières années, des sociétés ont été exclues car les souscriptions de salariés ne compensaient plus les ventes (</w:t>
      </w:r>
      <w:hyperlink r:id="rId16" w:tooltip="Le cours en temps réel de l'action Airbus Group à la bourse de Paris" w:history="1">
        <w:r w:rsidRPr="003969D1">
          <w:rPr>
            <w:rFonts w:eastAsia="Times New Roman" w:cstheme="minorHAnsi"/>
            <w:lang w:eastAsia="fr-FR"/>
          </w:rPr>
          <w:t>Airbus</w:t>
        </w:r>
      </w:hyperlink>
      <w:r w:rsidRPr="003969D1">
        <w:rPr>
          <w:rFonts w:eastAsia="Times New Roman" w:cstheme="minorHAnsi"/>
          <w:lang w:eastAsia="fr-FR"/>
        </w:rPr>
        <w:t xml:space="preserve">, </w:t>
      </w:r>
      <w:hyperlink r:id="rId17" w:tooltip="Le cours en temps réel de l'action RENAULT à la bourse de Paris" w:history="1">
        <w:r w:rsidRPr="003969D1">
          <w:rPr>
            <w:rFonts w:eastAsia="Times New Roman" w:cstheme="minorHAnsi"/>
            <w:lang w:eastAsia="fr-FR"/>
          </w:rPr>
          <w:t>Renault</w:t>
        </w:r>
      </w:hyperlink>
      <w:r w:rsidRPr="003969D1">
        <w:rPr>
          <w:rFonts w:eastAsia="Times New Roman" w:cstheme="minorHAnsi"/>
          <w:lang w:eastAsia="fr-FR"/>
        </w:rPr>
        <w:t xml:space="preserve">, </w:t>
      </w:r>
      <w:hyperlink r:id="rId18" w:tooltip="Le cours en temps réel de l'action THALES à la bourse de Paris" w:history="1">
        <w:r w:rsidRPr="003969D1">
          <w:rPr>
            <w:rFonts w:eastAsia="Times New Roman" w:cstheme="minorHAnsi"/>
            <w:lang w:eastAsia="fr-FR"/>
          </w:rPr>
          <w:t>Thales</w:t>
        </w:r>
      </w:hyperlink>
      <w:r w:rsidRPr="003969D1">
        <w:rPr>
          <w:rFonts w:eastAsia="Times New Roman" w:cstheme="minorHAnsi"/>
          <w:lang w:eastAsia="fr-FR"/>
        </w:rPr>
        <w:t>...). Cette sélection se révèle pertinente pour connaitre le taux d’actionnariat salarié et la cotation des entreprises. Depuis le 1</w:t>
      </w:r>
      <w:r w:rsidRPr="003969D1">
        <w:rPr>
          <w:rFonts w:eastAsia="Times New Roman" w:cstheme="minorHAnsi"/>
          <w:vertAlign w:val="superscript"/>
          <w:lang w:eastAsia="fr-FR"/>
        </w:rPr>
        <w:t>er</w:t>
      </w:r>
      <w:r w:rsidRPr="003969D1">
        <w:rPr>
          <w:rFonts w:eastAsia="Times New Roman" w:cstheme="minorHAnsi"/>
          <w:lang w:eastAsia="fr-FR"/>
        </w:rPr>
        <w:t xml:space="preserve"> juillet 2013, l’indice IAS a progressé deux fois plus que le Cac All-Tradable (+ 78,9 %, contre + 37 %).</w:t>
      </w:r>
    </w:p>
    <w:p w:rsidR="00DE5825" w:rsidRPr="006C11CE" w:rsidRDefault="00DE5825" w:rsidP="00DE5825">
      <w:pPr>
        <w:spacing w:after="0" w:line="240" w:lineRule="auto"/>
        <w:rPr>
          <w:rFonts w:ascii="Times New Roman" w:eastAsia="Times New Roman" w:hAnsi="Times New Roman" w:cs="Times New Roman"/>
          <w:sz w:val="24"/>
          <w:szCs w:val="24"/>
          <w:lang w:eastAsia="fr-FR"/>
        </w:rPr>
      </w:pPr>
    </w:p>
    <w:p w:rsidR="00DE5825" w:rsidRPr="00F85D64" w:rsidRDefault="00DE5825" w:rsidP="00DE5825">
      <w:pPr>
        <w:jc w:val="both"/>
        <w:rPr>
          <w:b/>
          <w:i/>
        </w:rPr>
      </w:pPr>
      <w:r w:rsidRPr="00F85D64">
        <w:rPr>
          <w:b/>
          <w:i/>
        </w:rPr>
        <w:t>Ces entreprises cotées dont les salariés sont aussi actionnaires</w:t>
      </w:r>
    </w:p>
    <w:p w:rsidR="00DE5825" w:rsidRDefault="00DE5825" w:rsidP="00DE5825">
      <w:pPr>
        <w:jc w:val="both"/>
        <w:rPr>
          <w:b/>
        </w:rPr>
      </w:pPr>
      <w:r>
        <w:rPr>
          <w:b/>
          <w:noProof/>
          <w:lang w:eastAsia="fr-FR"/>
        </w:rPr>
        <w:lastRenderedPageBreak/>
        <w:drawing>
          <wp:inline distT="0" distB="0" distL="0" distR="0" wp14:anchorId="6BBAC6B1" wp14:editId="77655328">
            <wp:extent cx="5682242" cy="236408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2035" cy="2364000"/>
                    </a:xfrm>
                    <a:prstGeom prst="rect">
                      <a:avLst/>
                    </a:prstGeom>
                    <a:noFill/>
                  </pic:spPr>
                </pic:pic>
              </a:graphicData>
            </a:graphic>
          </wp:inline>
        </w:drawing>
      </w:r>
    </w:p>
    <w:p w:rsidR="00DE5825" w:rsidRDefault="00DE5825" w:rsidP="00F0270F">
      <w:pPr>
        <w:pStyle w:val="COPIESAS2"/>
      </w:pPr>
      <w:bookmarkStart w:id="127" w:name="_Toc509513837"/>
      <w:r>
        <w:t>Quels sont les principaux freins au développement de</w:t>
      </w:r>
      <w:r w:rsidRPr="00425264">
        <w:t xml:space="preserve"> </w:t>
      </w:r>
      <w:r w:rsidRPr="00F2014D">
        <w:t>l’actionnariat salarié</w:t>
      </w:r>
      <w:r>
        <w:t> ?</w:t>
      </w:r>
      <w:bookmarkEnd w:id="127"/>
      <w:r>
        <w:t xml:space="preserve"> </w:t>
      </w:r>
    </w:p>
    <w:p w:rsidR="00DE5825" w:rsidRPr="00F33833" w:rsidRDefault="00DE5825" w:rsidP="00DE5825">
      <w:pPr>
        <w:jc w:val="both"/>
      </w:pPr>
      <w:r w:rsidRPr="00F33833">
        <w:t>Mais pour que les actionnaires salariés jouent pleinement leur rôle, encore faut-il les associer à la gouvernance. Pour qu’ils soient représentés dans les organes de direction d’une entreprise, les salariés-actionnaires doivent détenir au moins 3% du capital de l’entreprise. Or, tant que les salariés n’ont pas atteint 3 % du capital, une émission d’actions réservée (avec une décote éventuelle de 20 % en échange d’une conservation d’au moins cinq ans) doit figurer à l’ordre du jour de chaque AG.</w:t>
      </w:r>
    </w:p>
    <w:p w:rsidR="00DE5825" w:rsidRPr="00F33833" w:rsidRDefault="00DE5825" w:rsidP="00DE5825">
      <w:pPr>
        <w:jc w:val="both"/>
      </w:pPr>
      <w:r w:rsidRPr="00F33833">
        <w:t xml:space="preserve">Si les actionnaires hésitent parfois à voter pour, c’est parce qu’une directive européenne de 2007 prévoyant que les actionnaires soient représentés par des mandataires choisis par eux (via une élection) n’a toujours pas été transposée en droit français. </w:t>
      </w:r>
      <w:r>
        <w:t>En conséquence</w:t>
      </w:r>
      <w:r w:rsidRPr="00F33833">
        <w:t>, les droits de vote de certains fonds communs de placement d’entreprise (FCPE) sont de fait contrôlés par les ­dirigeants. L’A</w:t>
      </w:r>
      <w:r>
        <w:t>utorité des marchés financiers (A</w:t>
      </w:r>
      <w:r w:rsidRPr="00F33833">
        <w:t>MF</w:t>
      </w:r>
      <w:r>
        <w:t>)</w:t>
      </w:r>
      <w:r w:rsidRPr="00F33833">
        <w:t xml:space="preserve"> tente de s’opposer à cette forme d’autocontrôle en bloquant toute modification du règlement d’un FCPE non conforme à la directive.</w:t>
      </w:r>
    </w:p>
    <w:p w:rsidR="00DE5825" w:rsidRPr="00F33833" w:rsidRDefault="00DE5825" w:rsidP="00DE5825">
      <w:pPr>
        <w:jc w:val="both"/>
      </w:pPr>
      <w:r w:rsidRPr="00F33833">
        <w:t>L’autre principal obstacle au développement de l’actionnariat salarié est l</w:t>
      </w:r>
      <w:r>
        <w:t>’accroissement du taux d</w:t>
      </w:r>
      <w:r w:rsidRPr="00F33833">
        <w:t xml:space="preserve">e forfait social. A la charge de l’entreprise, il frappe les sources d’actionnariat salarié (abondement, participation et intéressement). </w:t>
      </w:r>
      <w:r>
        <w:t>Son taux</w:t>
      </w:r>
      <w:r w:rsidRPr="00F33833">
        <w:t xml:space="preserve"> a été porté de 2 % en 2009 à 20 % en 2012.</w:t>
      </w:r>
    </w:p>
    <w:p w:rsidR="00DE5825" w:rsidRPr="00F33833" w:rsidRDefault="00DE5825" w:rsidP="00DE5825">
      <w:pPr>
        <w:jc w:val="both"/>
      </w:pPr>
      <w:r w:rsidRPr="00F33833">
        <w:t xml:space="preserve">Par ailleurs, il est important de considérer un frein intrinsèque à la situation de salariés-actionnaires. En cas de défaillance de l’entreprise, celui-ci est doublement exposé, risquant </w:t>
      </w:r>
      <w:r>
        <w:t xml:space="preserve">à la fois </w:t>
      </w:r>
      <w:r w:rsidRPr="00F33833">
        <w:t xml:space="preserve">la perte de son emploi et </w:t>
      </w:r>
      <w:r>
        <w:t xml:space="preserve">celle </w:t>
      </w:r>
      <w:r w:rsidRPr="00F33833">
        <w:t>de son épargne. Ce frein est toutefois à relativiser, tant l’</w:t>
      </w:r>
      <w:r w:rsidRPr="003A5FBC">
        <w:rPr>
          <w:i/>
        </w:rPr>
        <w:t>affectio societatis</w:t>
      </w:r>
      <w:r w:rsidRPr="00F33833">
        <w:t xml:space="preserve"> l’emporte souvent sur des considérations plus rationnelles. </w:t>
      </w:r>
    </w:p>
    <w:p w:rsidR="00DE5825" w:rsidRDefault="00DE5825" w:rsidP="00DE5825">
      <w:pPr>
        <w:jc w:val="both"/>
      </w:pPr>
      <w:r w:rsidRPr="00F33833">
        <w:t>Enfin, la généralisation de l’actionnariat salarié est plus complexe dans les sociétés non cotés. Se posent des problèmes d’évaluation des titres et de liquidité des avoirs, notamment en cas de départ du salarié de l’entreprise. Ces spécificités propres au</w:t>
      </w:r>
      <w:r>
        <w:t>x sociétés</w:t>
      </w:r>
      <w:r w:rsidRPr="00F33833">
        <w:t xml:space="preserve"> non coté</w:t>
      </w:r>
      <w:r>
        <w:t>es</w:t>
      </w:r>
      <w:r w:rsidRPr="00F33833">
        <w:t xml:space="preserve"> devraient être abordées.</w:t>
      </w:r>
    </w:p>
    <w:p w:rsidR="00F85D64" w:rsidRPr="00F33833" w:rsidRDefault="00F85D64" w:rsidP="00DE5825">
      <w:pPr>
        <w:jc w:val="both"/>
      </w:pPr>
    </w:p>
    <w:p w:rsidR="00DE5825" w:rsidRDefault="00DE5825" w:rsidP="00F0270F">
      <w:pPr>
        <w:pStyle w:val="COPIESAS2"/>
      </w:pPr>
      <w:bookmarkStart w:id="128" w:name="_Toc509513838"/>
      <w:r w:rsidRPr="00D0445B">
        <w:t>Moyen n°</w:t>
      </w:r>
      <w:r>
        <w:t>1</w:t>
      </w:r>
      <w:r w:rsidRPr="009A3C48">
        <w:t> </w:t>
      </w:r>
      <w:r w:rsidRPr="006D7641">
        <w:t xml:space="preserve">: Encourager </w:t>
      </w:r>
      <w:r w:rsidRPr="00DA25FD">
        <w:t>les dispositifs d’actionnariat salarié et renforcer leur attractivité</w:t>
      </w:r>
      <w:bookmarkEnd w:id="128"/>
    </w:p>
    <w:p w:rsidR="00DE5825" w:rsidRDefault="00DE5825" w:rsidP="00DE5825">
      <w:pPr>
        <w:jc w:val="both"/>
      </w:pPr>
      <w:r>
        <w:t>Afin de promouvoir l’actionnariat salarié, il convient de jouer sur plusieurs registres, même si l’incitation est le plus motivant.</w:t>
      </w:r>
    </w:p>
    <w:p w:rsidR="00DE5825" w:rsidRDefault="002D07AB" w:rsidP="00DE5825">
      <w:pPr>
        <w:jc w:val="both"/>
      </w:pPr>
      <w:r>
        <w:lastRenderedPageBreak/>
        <w:t>La possibilité d’encourager</w:t>
      </w:r>
      <w:r w:rsidR="00DE5825">
        <w:t xml:space="preserve"> les opérations d’actionnariat salarié en obligeant toutes les entreprises entrant dans le champ de l’article</w:t>
      </w:r>
      <w:r w:rsidR="00DE5825" w:rsidRPr="00E0378C">
        <w:t xml:space="preserve"> L. 225-138 du code de commerce</w:t>
      </w:r>
      <w:r w:rsidR="00DE5825">
        <w:t xml:space="preserve">, c’est-à-dire qui procèdent à des augmentations de capital non collectives </w:t>
      </w:r>
      <w:r w:rsidR="00DE5825" w:rsidRPr="00E0378C">
        <w:t xml:space="preserve">à une ou plusieurs personnes désignées ou correspondant à des catégories </w:t>
      </w:r>
      <w:r w:rsidR="00DE5825">
        <w:t>spécifiques, de proposer systématiquement une offre collective similaire à tous les salariés de l’entreprise</w:t>
      </w:r>
      <w:r>
        <w:t xml:space="preserve"> a été discutée mais n’a pas fait l’objet d’un consensus</w:t>
      </w:r>
      <w:r w:rsidR="00DE5825">
        <w:t>.</w:t>
      </w:r>
    </w:p>
    <w:p w:rsidR="00DE5825" w:rsidRPr="00DA25FD" w:rsidRDefault="00DE5825" w:rsidP="00DE5825">
      <w:pPr>
        <w:jc w:val="both"/>
      </w:pPr>
      <w:r>
        <w:t xml:space="preserve">Sur le registre de l’incitation, il devrait être possible de permettre l’abondement unilatéral de l’employeur </w:t>
      </w:r>
      <w:r w:rsidR="0001416F">
        <w:t xml:space="preserve">éventuellement </w:t>
      </w:r>
      <w:r>
        <w:t xml:space="preserve">sur un support d’actionnariat salarié dans le PEE, comportant toutefois une poche de diversification minimale. Cette possibilité existe déjà dans le PERCO, dans la limite de 2% du plafond annuel de la sécurité sociale (PASS). Cette faculté pourrait être étendue au PEE s’agissant de l’actionnariat salarié, pourvu que le règlement du plan le prévoit et sous réserve d’une attribution uniforme à l’ensemble des salariés. </w:t>
      </w:r>
    </w:p>
    <w:p w:rsidR="00DE5825" w:rsidRDefault="00DE5825" w:rsidP="00DE5825">
      <w:pPr>
        <w:jc w:val="both"/>
      </w:pPr>
      <w:r>
        <w:t>Par ailleurs, un cas spécifique concerne les SAS. Actuellement, ces sociétés par actions simplifiée ne peuvent pas procéder à des offres au public de titres mais uniquement :</w:t>
      </w:r>
    </w:p>
    <w:p w:rsidR="00DE5825" w:rsidRDefault="00DE5825" w:rsidP="00DE5825">
      <w:pPr>
        <w:pStyle w:val="Paragraphedeliste"/>
        <w:numPr>
          <w:ilvl w:val="0"/>
          <w:numId w:val="10"/>
        </w:numPr>
        <w:jc w:val="both"/>
      </w:pPr>
      <w:r>
        <w:t>une offre dont le nombre d’investisseurs contactés n’est pas limité (offre ouverte au public) mais dont le ticket minimum par investisseur est de 100.000 euros ;</w:t>
      </w:r>
    </w:p>
    <w:p w:rsidR="00DE5825" w:rsidRDefault="00DE5825" w:rsidP="00DE5825">
      <w:pPr>
        <w:pStyle w:val="Paragraphedeliste"/>
        <w:numPr>
          <w:ilvl w:val="0"/>
          <w:numId w:val="10"/>
        </w:numPr>
        <w:jc w:val="both"/>
      </w:pPr>
      <w:r>
        <w:t>une offre de financement participatif ;</w:t>
      </w:r>
    </w:p>
    <w:p w:rsidR="00DE5825" w:rsidRDefault="00DE5825" w:rsidP="00DE5825">
      <w:pPr>
        <w:pStyle w:val="Paragraphedeliste"/>
        <w:numPr>
          <w:ilvl w:val="0"/>
          <w:numId w:val="10"/>
        </w:numPr>
        <w:jc w:val="both"/>
      </w:pPr>
      <w:r>
        <w:t xml:space="preserve">une offre à un cercle restreint d’investisseurs (au plus 149 personnes) sans limite de montant ; </w:t>
      </w:r>
    </w:p>
    <w:p w:rsidR="00DE5825" w:rsidRDefault="00DE5825" w:rsidP="00DE5825">
      <w:pPr>
        <w:pStyle w:val="Paragraphedeliste"/>
        <w:numPr>
          <w:ilvl w:val="0"/>
          <w:numId w:val="10"/>
        </w:numPr>
        <w:jc w:val="both"/>
      </w:pPr>
      <w:r>
        <w:t xml:space="preserve">une offre à des investisseurs qualifiés (sans limite de nombre de personnes ni de montant de l’offre) ; </w:t>
      </w:r>
    </w:p>
    <w:p w:rsidR="00DE5825" w:rsidRDefault="00DE5825" w:rsidP="00DE5825">
      <w:pPr>
        <w:pStyle w:val="Paragraphedeliste"/>
        <w:numPr>
          <w:ilvl w:val="0"/>
          <w:numId w:val="10"/>
        </w:numPr>
        <w:jc w:val="both"/>
      </w:pPr>
      <w:r>
        <w:t>une offre à des gestionnaires de fonds (sans limite de nombre de personnes ni de montant de l’offre).</w:t>
      </w:r>
    </w:p>
    <w:p w:rsidR="00DE5825" w:rsidRDefault="00DE5825" w:rsidP="00DE5825">
      <w:pPr>
        <w:jc w:val="both"/>
      </w:pPr>
      <w:r>
        <w:t>La proposition consisterait à modifier le code de commerce (article. L. 227-2) pour permettre une offre collective à tous les salariés dans les SAS.</w:t>
      </w:r>
    </w:p>
    <w:p w:rsidR="00EC4084" w:rsidRDefault="00EC4084" w:rsidP="00DE5825">
      <w:pPr>
        <w:jc w:val="both"/>
      </w:pPr>
      <w:r>
        <w:t xml:space="preserve">Au cours des débats, des propositions techniques visant à améliorer la mesure ont été proposées. Toutefois, il a également été indiqué que </w:t>
      </w:r>
      <w:r w:rsidR="00611B3B">
        <w:t>des</w:t>
      </w:r>
      <w:r>
        <w:t xml:space="preserve"> possibilité</w:t>
      </w:r>
      <w:r w:rsidR="00611B3B">
        <w:t>s</w:t>
      </w:r>
      <w:r>
        <w:t xml:space="preserve"> de réaliser des opérations d’actionnariat salarié (Attributions gratuite d’actions, FCPE d’actionnariat salarié) existai</w:t>
      </w:r>
      <w:r w:rsidR="00611B3B">
        <w:t>en</w:t>
      </w:r>
      <w:r>
        <w:t>t déjà</w:t>
      </w:r>
      <w:r w:rsidR="00611B3B">
        <w:t>.</w:t>
      </w:r>
      <w:r>
        <w:t>. A ce stade, cette proposition est   retenue</w:t>
      </w:r>
      <w:r w:rsidR="00611B3B">
        <w:t>, sous réserve d’expertise, et à condition que sa mise en œuvre n’occasionne pas de complication dans le corpus législatif</w:t>
      </w:r>
      <w:r>
        <w:t>.</w:t>
      </w:r>
    </w:p>
    <w:p w:rsidR="00DE5825" w:rsidRDefault="00DE5825" w:rsidP="0001416F">
      <w:pPr>
        <w:jc w:val="both"/>
      </w:pPr>
    </w:p>
    <w:p w:rsidR="00DE5825" w:rsidRDefault="00DE5825" w:rsidP="00794B97">
      <w:pPr>
        <w:pStyle w:val="COPIESASProposition"/>
      </w:pPr>
      <w:bookmarkStart w:id="129" w:name="_Toc509493639"/>
      <w:bookmarkStart w:id="130" w:name="_Toc509561909"/>
      <w:bookmarkStart w:id="131" w:name="_Toc509562150"/>
      <w:r w:rsidRPr="009A3C48">
        <w:t>Proposition n°</w:t>
      </w:r>
      <w:r>
        <w:t>2</w:t>
      </w:r>
      <w:r w:rsidR="002D07AB">
        <w:t>5</w:t>
      </w:r>
      <w:r w:rsidRPr="009A3C48">
        <w:t xml:space="preserve"> : </w:t>
      </w:r>
      <w:r w:rsidR="0001416F">
        <w:t xml:space="preserve">Instituer un </w:t>
      </w:r>
      <w:r>
        <w:t xml:space="preserve">abondement unilatéral de l’employeur </w:t>
      </w:r>
      <w:r w:rsidR="0001416F">
        <w:t>sur le PEE, à l’instar du PERCO</w:t>
      </w:r>
      <w:r>
        <w:t>.</w:t>
      </w:r>
      <w:bookmarkEnd w:id="129"/>
      <w:bookmarkEnd w:id="130"/>
      <w:bookmarkEnd w:id="131"/>
      <w:r w:rsidRPr="003B4B46">
        <w:t xml:space="preserve"> </w:t>
      </w:r>
    </w:p>
    <w:p w:rsidR="00611B3B" w:rsidRPr="009A3C48" w:rsidRDefault="00611B3B" w:rsidP="00794B97">
      <w:pPr>
        <w:pStyle w:val="COPIESASProposition"/>
      </w:pPr>
      <w:bookmarkStart w:id="132" w:name="_Toc509493640"/>
      <w:bookmarkStart w:id="133" w:name="_Toc509561910"/>
      <w:bookmarkStart w:id="134" w:name="_Toc509562151"/>
      <w:r w:rsidRPr="009A3C48">
        <w:t>Proposition n°</w:t>
      </w:r>
      <w:r>
        <w:t xml:space="preserve">26 : </w:t>
      </w:r>
      <w:r w:rsidRPr="006D7641">
        <w:t>Faciliter</w:t>
      </w:r>
      <w:r>
        <w:t>, sous conditions,</w:t>
      </w:r>
      <w:r w:rsidRPr="006D7641">
        <w:t xml:space="preserve"> l’actionnariat salarié dans les sociétés par actions simplifiées (SAS)</w:t>
      </w:r>
      <w:r w:rsidRPr="000937C3">
        <w:t>.</w:t>
      </w:r>
      <w:bookmarkEnd w:id="132"/>
      <w:bookmarkEnd w:id="133"/>
      <w:bookmarkEnd w:id="134"/>
    </w:p>
    <w:p w:rsidR="00DE5825" w:rsidRPr="00F33833" w:rsidRDefault="00DE5825" w:rsidP="00DE5825">
      <w:pPr>
        <w:jc w:val="both"/>
      </w:pPr>
    </w:p>
    <w:p w:rsidR="00DE5825" w:rsidRDefault="00DE5825" w:rsidP="00F0270F">
      <w:pPr>
        <w:pStyle w:val="COPIESAS2"/>
      </w:pPr>
      <w:bookmarkStart w:id="135" w:name="_Toc509513839"/>
      <w:r w:rsidRPr="00D0445B">
        <w:t>Moyen n°</w:t>
      </w:r>
      <w:r>
        <w:t>2</w:t>
      </w:r>
      <w:r w:rsidRPr="009A3C48">
        <w:t> :</w:t>
      </w:r>
      <w:r w:rsidRPr="000937C3">
        <w:t xml:space="preserve"> </w:t>
      </w:r>
      <w:r>
        <w:t>Promouvoir l’</w:t>
      </w:r>
      <w:r w:rsidRPr="00DA25FD">
        <w:t xml:space="preserve">actionnariat salarié </w:t>
      </w:r>
      <w:r>
        <w:t>dans les sociétés non cotées</w:t>
      </w:r>
      <w:bookmarkEnd w:id="135"/>
    </w:p>
    <w:p w:rsidR="00DE5825" w:rsidRDefault="00DE5825" w:rsidP="00DE5825">
      <w:pPr>
        <w:jc w:val="both"/>
      </w:pPr>
      <w:r>
        <w:t xml:space="preserve">L’actionnariat salarié en France n’est pas l’apanage des grandes entreprises cotées – dont on peut, au passage, souligner la performance dans ce domaine au regard de leurs homologues européennes. Lorsque l’on parle de celles dont les titres ne sont pas négociables sur un marché réglementé, </w:t>
      </w:r>
      <w:r>
        <w:lastRenderedPageBreak/>
        <w:t>certaines grandes entreprises sont immanquablement citées (Auchan par exemple). Mais la réalité des sociétés non cotées, ce sont d’abord les PME, qui ne disposent pas de la surface financière pour assurer la liquidité ou la portabilité des titres. Mais malgré les moyens qui ne sont pas ceux des grands groupes, l’intérêt pour l’actionnariat salarié est le même (cf. étude Eres/BDO mars 2016</w:t>
      </w:r>
      <w:r w:rsidRPr="00994E3B">
        <w:t xml:space="preserve"> </w:t>
      </w:r>
      <w:r>
        <w:t>Entreprise &amp; Carrières n° 1280).</w:t>
      </w:r>
      <w:r w:rsidRPr="00994E3B">
        <w:t xml:space="preserve"> </w:t>
      </w:r>
      <w:r>
        <w:t>80 % des PME interrogées voient en effet dans l’actionnariat salarié « une bonne chose ». Mais 4 % seulement sont passées à l’acte. Avec, dans 40 % des cas, un dispositif ouvert à plus de 50 % des collaborateurs. 85 % des employeurs ayant mis en place une politique d’actionnariat salarié s’en disent satisfaits. Comme dans le “coté”, les motivations citées dans l’étude sont identiques : implication des salariés dans le fonctionnement de l’entreprise, fidélisation et motivation des troupes, renforcement de l’attractivité auprès des candidats à l’embauche (très difficiles à séduire lorsqu’ils sont eux-mêmes issus de grands groupes). Mais d’autres facteurs peuvent intervenir dans la décision. Pour le laboratoire pharmaceutique Pierre Fabre (13 000 collaborateurs dans le monde), il s’agissait aussi d’anticiper des difficultés de succession. La reprise d’entreprise est également une question cruciale pour beaucoup de PME. Le grand intérêt d’associer les salariés dans ce contexte est d’abord d’assurer la survie de l’entreprise, la démarche est d’avoir un actionnariat stable tout en gardant son indépendance, de développer une culture d’entreprise en associant les collaborateurs au bon développement de la société.</w:t>
      </w:r>
    </w:p>
    <w:p w:rsidR="00DE5825" w:rsidRDefault="00DE5825" w:rsidP="00DE5825">
      <w:pPr>
        <w:jc w:val="both"/>
        <w:rPr>
          <w:i/>
        </w:rPr>
      </w:pPr>
      <w:r w:rsidRPr="000A2D24">
        <w:t xml:space="preserve">Sans vouloir aplanir toutes les difficultés potentielles, il pourrait être décidé d’offrir aux PME non cotées plusieurs outils </w:t>
      </w:r>
      <w:r>
        <w:t>pratiques</w:t>
      </w:r>
      <w:r w:rsidRPr="000A2D24">
        <w:t>.</w:t>
      </w:r>
      <w:r>
        <w:rPr>
          <w:i/>
        </w:rPr>
        <w:t xml:space="preserve"> </w:t>
      </w:r>
    </w:p>
    <w:p w:rsidR="00DE5825" w:rsidRPr="003A5FBC" w:rsidRDefault="00DE5825" w:rsidP="00F0270F">
      <w:pPr>
        <w:pStyle w:val="COPIESAS2"/>
      </w:pPr>
      <w:bookmarkStart w:id="136" w:name="_Toc509513840"/>
      <w:r w:rsidRPr="003A5FBC">
        <w:t>Des outils d’évaluation au service des entreprises non cotées</w:t>
      </w:r>
      <w:bookmarkEnd w:id="136"/>
    </w:p>
    <w:p w:rsidR="00DE5825" w:rsidRDefault="00DE5825" w:rsidP="00DE5825">
      <w:pPr>
        <w:jc w:val="both"/>
      </w:pPr>
      <w:r>
        <w:t>Dans l’état actuel de la législation, les dispositions en matière de valorisation des titres sont précises en cas d’augmentation de capital réservée aux adhérents d’un PEE (articles L. 3332-20 et R. 3332-23 du code du travail et de la recommandation AMF 2012-10) ou d’attributions d’options (article L 225-177 du code du commerce) et quasiment inexistantes pour les autres opérations. La désignation d’un expert indépendant pour faire cette évaluation n’est obligatoire que dans le cas du PEE (FCPE et actionnariat direct).</w:t>
      </w:r>
    </w:p>
    <w:p w:rsidR="00DE5825" w:rsidRDefault="00DE5825" w:rsidP="00DE5825">
      <w:pPr>
        <w:jc w:val="both"/>
      </w:pPr>
      <w:r>
        <w:t>De la formulation combinée des articles L 3332-20 et R 3332-23 du code du travail et de la recommandation AMF 2012-10, il résulte que le dispositif central est l’intervention au moins tous les 5 ans par un expert, qui fixe (ou applique selon le texte auquel on se réfère) une méthode objective et multicritères. Cette méthode et ces critères sont ensuite appliqués lors de chaque exercice par l’entreprise sous le contrôle du commissaire aux comptes, dont le rôle est simplement de s’assurer de la stricte application de la méthode et des critères, ainsi que de la justesse des calculs, jusqu’à la prochaine intervention de l’expert. Le code du travail prévoit un dispositif simplifié à partir de l’actif net réévalué de l’entreprise, calculé par cette dernière sous le contrôle du commissaire aux comptes. Cette méthode d’évaluation est adaptée pour les plus petites entreprise en recherche d’efficacité au moindre coût.</w:t>
      </w:r>
    </w:p>
    <w:p w:rsidR="00DE5825" w:rsidRDefault="00DE5825" w:rsidP="00DE5825">
      <w:pPr>
        <w:jc w:val="both"/>
      </w:pPr>
      <w:r>
        <w:t>Afin d’offrir une plus grande latitude aux entreprises, en plus des deux méthodes déjà proposées, trois autres seraient laissées au choix des entreprises :</w:t>
      </w:r>
    </w:p>
    <w:p w:rsidR="00DE5825" w:rsidRDefault="00DE5825" w:rsidP="00DE5825">
      <w:pPr>
        <w:pStyle w:val="Paragraphedeliste"/>
        <w:numPr>
          <w:ilvl w:val="0"/>
          <w:numId w:val="12"/>
        </w:numPr>
        <w:jc w:val="both"/>
      </w:pPr>
      <w:r>
        <w:t xml:space="preserve">Une valorisation sur la base de l’actif net dans la mesure où le résultat bénéficiaire ou la perte de l’exercice ne représente pas plus de 10% de l’actif net de la société. Cette méthode, </w:t>
      </w:r>
      <w:r>
        <w:lastRenderedPageBreak/>
        <w:t>adaptée aux petites entreprises pourrait alors être conduite par un expert-comptable et ne justifierait pas l’intervention d’un expert indépendant ;</w:t>
      </w:r>
    </w:p>
    <w:p w:rsidR="00DE5825" w:rsidRDefault="00DE5825" w:rsidP="00DE5825">
      <w:pPr>
        <w:pStyle w:val="Paragraphedeliste"/>
        <w:numPr>
          <w:ilvl w:val="0"/>
          <w:numId w:val="12"/>
        </w:numPr>
        <w:jc w:val="both"/>
      </w:pPr>
      <w:r>
        <w:t>Une valorisation effectuée par les entreprises sous contrôle des commissaires aux comptes (CAC) en application d’une méthode fixée au moins tous les 5 ans par un expert indépendant (suppression du terme en « outre » figurant à l’alinéa 2 de l’article R3332 – 23 du code du travail dans sa rédaction actuelle). Il s’agirait en fait du régime actuel sauf à bien préciser dans la loi que le rôle de l’expert est de fixer une méthode de calcul et non de faire une évaluation ;</w:t>
      </w:r>
    </w:p>
    <w:p w:rsidR="00DE5825" w:rsidRDefault="00DE5825" w:rsidP="00DE5825">
      <w:pPr>
        <w:pStyle w:val="Paragraphedeliste"/>
        <w:numPr>
          <w:ilvl w:val="0"/>
          <w:numId w:val="12"/>
        </w:numPr>
        <w:jc w:val="both"/>
      </w:pPr>
      <w:r>
        <w:t xml:space="preserve">Une valorisation, </w:t>
      </w:r>
      <w:r w:rsidRPr="003A5FBC">
        <w:rPr>
          <w:i/>
        </w:rPr>
        <w:t>a minima</w:t>
      </w:r>
      <w:r>
        <w:t xml:space="preserve"> annuelle, à dire d’expert (2 au minimum), agissant dans le cadre d’un mandat d’évaluation qui les conduirait à fixer eux même la méthode pertinente d’évaluation.</w:t>
      </w:r>
    </w:p>
    <w:p w:rsidR="00DE5825" w:rsidRDefault="00DE5825" w:rsidP="00DE5825">
      <w:pPr>
        <w:jc w:val="both"/>
      </w:pPr>
      <w:r>
        <w:t>L’article R 3332-23 du code du travail pourra être rédigé en ce sens.</w:t>
      </w:r>
      <w:r w:rsidRPr="00733E51">
        <w:t xml:space="preserve"> </w:t>
      </w:r>
      <w:r>
        <w:t>La méthode choisie pourrait être reconnue par l’administration fiscale.</w:t>
      </w:r>
    </w:p>
    <w:p w:rsidR="00DE5825" w:rsidRDefault="00DE5825">
      <w:pPr>
        <w:jc w:val="both"/>
      </w:pPr>
      <w:r>
        <w:t>Concernant la transmission d’entreprises, il pourrait être retenu un système favorable à la transmission d’entreprises non cotées aux salariés s’inspirant de modèles en cours aux Etats-Unis et au Royaume-Uni depuis plusieurs décennies,</w:t>
      </w:r>
      <w:r w:rsidR="007C07D4" w:rsidRPr="007C07D4">
        <w:t xml:space="preserve"> </w:t>
      </w:r>
      <w:r w:rsidR="007C07D4">
        <w:t>dans le cadre maintenu mais adapté de l’article L.</w:t>
      </w:r>
      <w:r w:rsidR="0089225C">
        <w:t> </w:t>
      </w:r>
      <w:r w:rsidR="007C07D4">
        <w:t>3332-16 du code du travail. Le COPIESAS</w:t>
      </w:r>
      <w:r w:rsidR="003D65A4">
        <w:t>, qui à ce stade est divisé sur ce point,</w:t>
      </w:r>
      <w:r w:rsidR="007C07D4">
        <w:t xml:space="preserve"> pourrait expertiser la possibilité</w:t>
      </w:r>
      <w:r>
        <w:t xml:space="preserve"> </w:t>
      </w:r>
      <w:r w:rsidR="007C07D4">
        <w:t>d’</w:t>
      </w:r>
      <w:r>
        <w:t xml:space="preserve">accorder au propriétaire cédant son entreprise </w:t>
      </w:r>
      <w:r w:rsidR="00245862">
        <w:t xml:space="preserve"> une </w:t>
      </w:r>
      <w:r>
        <w:t xml:space="preserve">exonération </w:t>
      </w:r>
      <w:r w:rsidR="00245862">
        <w:t xml:space="preserve">totale ou partielle </w:t>
      </w:r>
      <w:r>
        <w:t>des plus-values sur les gains de cession</w:t>
      </w:r>
      <w:r w:rsidR="007C07D4">
        <w:t xml:space="preserve"> de ses titres aux salariés</w:t>
      </w:r>
      <w:r w:rsidR="00245862">
        <w:t>.</w:t>
      </w:r>
      <w:r>
        <w:t xml:space="preserve"> </w:t>
      </w:r>
    </w:p>
    <w:p w:rsidR="00DE5825" w:rsidRPr="00BE388B" w:rsidRDefault="00DE5825" w:rsidP="00DE5825">
      <w:pPr>
        <w:jc w:val="both"/>
      </w:pPr>
      <w:r w:rsidRPr="00BE388B">
        <w:t xml:space="preserve">La mutualisation/portabilité des titres est un sujet complexe qui a déjà été abordé par le précédent COPIESAS. La proposition qui avait été retenue pourrait être expertisée, ce qui n’avait pas pu être réalisé par manque de temps. </w:t>
      </w:r>
      <w:r>
        <w:t>Il avait été souhaité la saisine de</w:t>
      </w:r>
      <w:r w:rsidRPr="00BE388B">
        <w:t xml:space="preserve"> la Caisse des dépôts et consignations afin qu’elle </w:t>
      </w:r>
      <w:r>
        <w:t>étudie la mise</w:t>
      </w:r>
      <w:r w:rsidRPr="00BE388B">
        <w:t xml:space="preserve"> en place </w:t>
      </w:r>
      <w:r>
        <w:t>d’</w:t>
      </w:r>
      <w:r w:rsidRPr="00BE388B">
        <w:t>un mécanisme de portage destiné à assurer la liquidité des titres des entreprises non cotées.</w:t>
      </w:r>
      <w:r>
        <w:t xml:space="preserve"> Cette expertise pourrait faire l’objet d’un groupe de travail conjoint Caisse des dépôts/COPIESAS</w:t>
      </w:r>
    </w:p>
    <w:p w:rsidR="00DE5825" w:rsidRPr="009A3C48" w:rsidRDefault="00DE5825" w:rsidP="00F0270F">
      <w:pPr>
        <w:pStyle w:val="COPIESASProposition"/>
      </w:pPr>
      <w:bookmarkStart w:id="137" w:name="_Toc509330484"/>
      <w:bookmarkStart w:id="138" w:name="_Toc509341626"/>
      <w:bookmarkStart w:id="139" w:name="_Toc509493641"/>
      <w:bookmarkStart w:id="140" w:name="_Toc509561911"/>
      <w:bookmarkStart w:id="141" w:name="_Toc509562152"/>
      <w:r w:rsidRPr="009A3C48">
        <w:t>Proposition n°</w:t>
      </w:r>
      <w:r w:rsidR="00D30CDA">
        <w:t>2</w:t>
      </w:r>
      <w:r w:rsidR="00611B3B">
        <w:t>7</w:t>
      </w:r>
      <w:r w:rsidR="00D30CDA" w:rsidRPr="009A3C48">
        <w:t> </w:t>
      </w:r>
      <w:r w:rsidRPr="009A3C48">
        <w:t xml:space="preserve">: </w:t>
      </w:r>
      <w:r w:rsidRPr="00A14318">
        <w:t>Clarifier les méthodes de valorisation de l’entreprise en laissant un choix</w:t>
      </w:r>
      <w:r>
        <w:t xml:space="preserve"> </w:t>
      </w:r>
      <w:r w:rsidRPr="00A14318">
        <w:t xml:space="preserve">entre trois formules qui seraient </w:t>
      </w:r>
      <w:r>
        <w:t>validé</w:t>
      </w:r>
      <w:r w:rsidR="002D07AB">
        <w:t>e</w:t>
      </w:r>
      <w:r>
        <w:t>s</w:t>
      </w:r>
      <w:r w:rsidRPr="00A14318">
        <w:t xml:space="preserve"> par l’administration fiscale</w:t>
      </w:r>
      <w:r w:rsidRPr="009A3C48">
        <w:t>.</w:t>
      </w:r>
      <w:bookmarkEnd w:id="137"/>
      <w:bookmarkEnd w:id="138"/>
      <w:bookmarkEnd w:id="139"/>
      <w:bookmarkEnd w:id="140"/>
      <w:bookmarkEnd w:id="141"/>
      <w:r w:rsidRPr="009A3C48">
        <w:t xml:space="preserve"> </w:t>
      </w:r>
    </w:p>
    <w:p w:rsidR="00DE5825" w:rsidRPr="009A3C48" w:rsidRDefault="00DE5825" w:rsidP="00F0270F">
      <w:pPr>
        <w:pStyle w:val="COPIESASProposition"/>
      </w:pPr>
      <w:bookmarkStart w:id="142" w:name="_Toc509330485"/>
      <w:bookmarkStart w:id="143" w:name="_Toc509341627"/>
      <w:bookmarkStart w:id="144" w:name="_Toc509493642"/>
      <w:bookmarkStart w:id="145" w:name="_Toc509561912"/>
      <w:bookmarkStart w:id="146" w:name="_Toc509562153"/>
      <w:r w:rsidRPr="009A3C48">
        <w:t>Proposition n°</w:t>
      </w:r>
      <w:r w:rsidR="00D30CDA">
        <w:t>2</w:t>
      </w:r>
      <w:r w:rsidR="00611B3B">
        <w:t>8</w:t>
      </w:r>
      <w:r w:rsidR="00D30CDA" w:rsidRPr="009A3C48">
        <w:t> </w:t>
      </w:r>
      <w:r w:rsidRPr="009A3C48">
        <w:t xml:space="preserve">: </w:t>
      </w:r>
      <w:r w:rsidRPr="00A14318">
        <w:t>Faciliter la transmission d’entreprises non cotées via l’actionnariat salarié</w:t>
      </w:r>
      <w:r w:rsidRPr="004C1916">
        <w:t xml:space="preserve"> </w:t>
      </w:r>
      <w:r>
        <w:t>dans le cadre d’une opération collective.</w:t>
      </w:r>
      <w:bookmarkEnd w:id="142"/>
      <w:bookmarkEnd w:id="143"/>
      <w:bookmarkEnd w:id="144"/>
      <w:bookmarkEnd w:id="145"/>
      <w:bookmarkEnd w:id="146"/>
      <w:r w:rsidRPr="003B4B46">
        <w:t xml:space="preserve"> </w:t>
      </w:r>
    </w:p>
    <w:p w:rsidR="00DE5825" w:rsidRPr="009A3C48" w:rsidRDefault="00DE5825" w:rsidP="00F0270F">
      <w:pPr>
        <w:pStyle w:val="COPIESASProposition"/>
      </w:pPr>
      <w:bookmarkStart w:id="147" w:name="_Toc509330486"/>
      <w:bookmarkStart w:id="148" w:name="_Toc509341628"/>
      <w:bookmarkStart w:id="149" w:name="_Toc509493643"/>
      <w:bookmarkStart w:id="150" w:name="_Toc509561913"/>
      <w:bookmarkStart w:id="151" w:name="_Toc509562154"/>
      <w:r w:rsidRPr="009A3C48">
        <w:t>Proposition n°</w:t>
      </w:r>
      <w:r w:rsidR="00E27E1E">
        <w:t>2</w:t>
      </w:r>
      <w:r w:rsidR="00611B3B">
        <w:t>9</w:t>
      </w:r>
      <w:r>
        <w:t xml:space="preserve"> : Expertiser un mécanisme de portage des titres non cotés </w:t>
      </w:r>
      <w:r w:rsidR="007C7C72">
        <w:t xml:space="preserve">et des titres solidaires </w:t>
      </w:r>
      <w:r>
        <w:t>par la Caisse des dépôts</w:t>
      </w:r>
      <w:r w:rsidRPr="000937C3">
        <w:t>.</w:t>
      </w:r>
      <w:bookmarkEnd w:id="147"/>
      <w:bookmarkEnd w:id="148"/>
      <w:bookmarkEnd w:id="149"/>
      <w:bookmarkEnd w:id="150"/>
      <w:bookmarkEnd w:id="151"/>
    </w:p>
    <w:p w:rsidR="00D30CDA" w:rsidRDefault="00D30CDA" w:rsidP="00F0270F">
      <w:pPr>
        <w:pStyle w:val="COPIESAS2"/>
      </w:pPr>
    </w:p>
    <w:p w:rsidR="00DE5825" w:rsidRPr="00E91055" w:rsidRDefault="00DE5825" w:rsidP="00F0270F">
      <w:pPr>
        <w:pStyle w:val="COPIESAS2"/>
      </w:pPr>
      <w:bookmarkStart w:id="152" w:name="_Toc509513841"/>
      <w:r w:rsidRPr="00D30CDA">
        <w:t xml:space="preserve">Moyen n°3 : </w:t>
      </w:r>
      <w:r w:rsidRPr="00E91055">
        <w:t>Améliorer la gouvernance de l’épargne salariale</w:t>
      </w:r>
      <w:bookmarkEnd w:id="152"/>
    </w:p>
    <w:p w:rsidR="00DE5825" w:rsidRDefault="00DE5825" w:rsidP="00DE5825">
      <w:pPr>
        <w:jc w:val="both"/>
      </w:pPr>
      <w:r w:rsidRPr="00AC09BE">
        <w:t>Les FCPE sont dotés d’un conseil de surveillance, dont le rôle et les pouvoirs sont codifiés aux articles L. 214-164 et L. 214-165 du code monétaire et financier.</w:t>
      </w:r>
      <w:r>
        <w:t xml:space="preserve"> Le règlement du FCPE précise la composition et les modalités de nomination (désignation et /ou élection) du conseil de surveillance.</w:t>
      </w:r>
    </w:p>
    <w:p w:rsidR="00DE5825" w:rsidRDefault="00DE5825" w:rsidP="00DE5825">
      <w:pPr>
        <w:jc w:val="both"/>
      </w:pPr>
      <w:r>
        <w:t xml:space="preserve">Le conseil de surveillance est composé de salariés représentant les porteurs de parts, eux-mêmes porteurs de parts et, pour moitié au plus, de représentants de l’entreprise. Il existe différentes </w:t>
      </w:r>
      <w:r>
        <w:lastRenderedPageBreak/>
        <w:t>modalités de nomination (désignation et/ou élection, par le comité d’entreprise ou le comité central ou par les organisations syndicales représentatives. Cependant, il convient de noter qu’en cas d’élection tous les porteurs de parts salariés ou non sont électeurs. De plus, le président du conseil de surveillance est choisi obligatoirement parmi les représentants des porteurs de parts (il s’agit donc d’un salarié de l’entreprise ou de l’une des entreprises).</w:t>
      </w:r>
    </w:p>
    <w:p w:rsidR="00DE5825" w:rsidRDefault="00DE5825" w:rsidP="00DE5825">
      <w:pPr>
        <w:jc w:val="both"/>
      </w:pPr>
      <w:r>
        <w:t>La gestion de ces fonds, parce qu’ils sont les principaux vecteurs de l’épargne salariale, se doivent d’être exemplaires. Or,</w:t>
      </w:r>
      <w:r w:rsidRPr="00AC09BE">
        <w:t xml:space="preserve"> un conflit d’intérêt </w:t>
      </w:r>
      <w:r>
        <w:t xml:space="preserve">potentiel est à remarquer. En effet, </w:t>
      </w:r>
      <w:r w:rsidRPr="00AC09BE">
        <w:t xml:space="preserve">l’entreprise </w:t>
      </w:r>
      <w:r>
        <w:t>peut</w:t>
      </w:r>
      <w:r w:rsidRPr="00AC09BE">
        <w:t xml:space="preserve"> proposer une r</w:t>
      </w:r>
      <w:r>
        <w:t>ésolution aux actionnaires et</w:t>
      </w:r>
      <w:r w:rsidRPr="00AC09BE">
        <w:t xml:space="preserve"> se prononcer sur elle par le biais de ses représentants dans les conseils de surveillance des fonds d’actionnariat salarié. </w:t>
      </w:r>
      <w:r>
        <w:t>Il serait</w:t>
      </w:r>
      <w:r w:rsidRPr="00AC09BE">
        <w:t xml:space="preserve"> donc </w:t>
      </w:r>
      <w:r>
        <w:t xml:space="preserve">logique d’organiser </w:t>
      </w:r>
      <w:r w:rsidRPr="00AC09BE">
        <w:t>le déport obligatoire des employeurs au moment de la détermination de la politique de vote sur les résolutions de l’entreprise en assemblée générale.</w:t>
      </w:r>
    </w:p>
    <w:p w:rsidR="00721DAA" w:rsidRPr="007C07D4" w:rsidRDefault="007C07D4" w:rsidP="00DE5825">
      <w:pPr>
        <w:jc w:val="both"/>
      </w:pPr>
      <w:r>
        <w:t>Concernant l</w:t>
      </w:r>
      <w:r w:rsidR="00DE5825" w:rsidRPr="00F0270F">
        <w:t>a représentation des salariés-actionnaires dans les conseils d’administration et de surveillance des entreprises</w:t>
      </w:r>
      <w:r>
        <w:t xml:space="preserve">, </w:t>
      </w:r>
      <w:r w:rsidR="009320C3">
        <w:t>u</w:t>
      </w:r>
      <w:r>
        <w:t>ne mesure pourrait être proposée assurant une égalité de traitement entre salariés actionnaires</w:t>
      </w:r>
      <w:r w:rsidR="0089225C">
        <w:t xml:space="preserve"> des entreprises </w:t>
      </w:r>
      <w:r w:rsidR="004334D1">
        <w:t>cotées et entreprises non cotées</w:t>
      </w:r>
      <w:r w:rsidR="00F344E2">
        <w:t xml:space="preserve"> </w:t>
      </w:r>
      <w:r>
        <w:t xml:space="preserve"> </w:t>
      </w:r>
      <w:r w:rsidR="004334D1">
        <w:t>indépendamment de la</w:t>
      </w:r>
      <w:r>
        <w:t xml:space="preserve"> représentation des salariés dans ces mêmes organes de direction.</w:t>
      </w:r>
    </w:p>
    <w:p w:rsidR="00DE5825" w:rsidRDefault="00DE5825">
      <w:pPr>
        <w:jc w:val="both"/>
      </w:pPr>
      <w:r>
        <w:t xml:space="preserve">Ainsi, </w:t>
      </w:r>
      <w:r w:rsidR="00086C1E">
        <w:t>la représentation des salariés</w:t>
      </w:r>
      <w:r w:rsidR="00833D8B" w:rsidRPr="00833D8B">
        <w:t xml:space="preserve"> </w:t>
      </w:r>
      <w:r w:rsidR="00833D8B">
        <w:t>actionnaires</w:t>
      </w:r>
      <w:r w:rsidR="00086C1E">
        <w:t xml:space="preserve"> dans les conseils d’administration ou de surveillance des entreprises</w:t>
      </w:r>
      <w:r w:rsidR="00833D8B">
        <w:t>, dès lors qu’ils détiennent au moins 3</w:t>
      </w:r>
      <w:r w:rsidR="004334D1">
        <w:t> </w:t>
      </w:r>
      <w:r w:rsidR="00833D8B">
        <w:t>% du capital des entreprises,</w:t>
      </w:r>
      <w:r w:rsidR="00086C1E">
        <w:t xml:space="preserve"> pourrait être étendue </w:t>
      </w:r>
      <w:r w:rsidR="00833D8B">
        <w:t xml:space="preserve">dans les mêmes conditions </w:t>
      </w:r>
      <w:r w:rsidR="00086C1E">
        <w:t>aux entreprises non cotées à partir, par exemple, du seuil de 1</w:t>
      </w:r>
      <w:r w:rsidR="0089225C">
        <w:t> </w:t>
      </w:r>
      <w:r w:rsidR="00086C1E">
        <w:t>000 salariés en France et 5</w:t>
      </w:r>
      <w:r w:rsidR="0089225C">
        <w:t> </w:t>
      </w:r>
      <w:r w:rsidR="00086C1E">
        <w:t>000 à l’international.</w:t>
      </w:r>
    </w:p>
    <w:p w:rsidR="00DE5825" w:rsidRDefault="00DE5825" w:rsidP="00DE5825">
      <w:pPr>
        <w:jc w:val="both"/>
      </w:pPr>
    </w:p>
    <w:p w:rsidR="00DE5825" w:rsidRPr="009A3C48" w:rsidRDefault="00DE5825" w:rsidP="00F0270F">
      <w:pPr>
        <w:pStyle w:val="COPIESASProposition"/>
      </w:pPr>
      <w:bookmarkStart w:id="153" w:name="_Toc509330487"/>
      <w:bookmarkStart w:id="154" w:name="_Toc509341629"/>
      <w:bookmarkStart w:id="155" w:name="_Toc509493644"/>
      <w:bookmarkStart w:id="156" w:name="_Toc509561914"/>
      <w:bookmarkStart w:id="157" w:name="_Toc509562155"/>
      <w:r w:rsidRPr="009A3C48">
        <w:t>Proposition n°</w:t>
      </w:r>
      <w:r w:rsidR="00611B3B">
        <w:t>30</w:t>
      </w:r>
      <w:r w:rsidR="00D30CDA" w:rsidRPr="009A3C48">
        <w:t> </w:t>
      </w:r>
      <w:r w:rsidRPr="009A3C48">
        <w:t xml:space="preserve">: </w:t>
      </w:r>
      <w:r w:rsidR="009320C3">
        <w:t>O</w:t>
      </w:r>
      <w:r w:rsidRPr="0065727A">
        <w:t>rganiser le déport obligatoire des employeurs au moment de la détermination de la politique de vote sur les résolutions</w:t>
      </w:r>
      <w:r>
        <w:t>.</w:t>
      </w:r>
      <w:bookmarkEnd w:id="153"/>
      <w:bookmarkEnd w:id="154"/>
      <w:bookmarkEnd w:id="155"/>
      <w:bookmarkEnd w:id="156"/>
      <w:bookmarkEnd w:id="157"/>
      <w:r w:rsidRPr="009A3C48">
        <w:t xml:space="preserve"> </w:t>
      </w:r>
    </w:p>
    <w:p w:rsidR="00DE5825" w:rsidRPr="009A3C48" w:rsidRDefault="00DE5825" w:rsidP="00F0270F">
      <w:pPr>
        <w:pStyle w:val="COPIESASProposition"/>
      </w:pPr>
      <w:bookmarkStart w:id="158" w:name="_Toc509330488"/>
      <w:bookmarkStart w:id="159" w:name="_Toc509341630"/>
      <w:bookmarkStart w:id="160" w:name="_Toc509493645"/>
      <w:bookmarkStart w:id="161" w:name="_Toc509561915"/>
      <w:bookmarkStart w:id="162" w:name="_Toc509562156"/>
      <w:r w:rsidRPr="009A3C48">
        <w:t>Proposition n°</w:t>
      </w:r>
      <w:r w:rsidR="00E27E1E">
        <w:t>3</w:t>
      </w:r>
      <w:r w:rsidR="00611B3B">
        <w:t>1</w:t>
      </w:r>
      <w:r w:rsidR="00D30CDA" w:rsidRPr="009A3C48">
        <w:t> </w:t>
      </w:r>
      <w:r w:rsidRPr="009A3C48">
        <w:t xml:space="preserve">: </w:t>
      </w:r>
      <w:r>
        <w:t>E</w:t>
      </w:r>
      <w:r w:rsidR="00086C1E">
        <w:t>tendre</w:t>
      </w:r>
      <w:r>
        <w:t xml:space="preserve"> la représentation des salariés actionnaires </w:t>
      </w:r>
      <w:r w:rsidR="00086C1E">
        <w:t>dans les entreprises non cotées</w:t>
      </w:r>
      <w:r>
        <w:t>.</w:t>
      </w:r>
      <w:bookmarkEnd w:id="158"/>
      <w:bookmarkEnd w:id="159"/>
      <w:bookmarkEnd w:id="160"/>
      <w:bookmarkEnd w:id="161"/>
      <w:bookmarkEnd w:id="162"/>
      <w:r w:rsidRPr="003B4B46">
        <w:t xml:space="preserve"> </w:t>
      </w:r>
    </w:p>
    <w:p w:rsidR="004334D1" w:rsidRDefault="004334D1" w:rsidP="004334D1"/>
    <w:p w:rsidR="004334D1" w:rsidRPr="00E27E1E" w:rsidRDefault="004334D1" w:rsidP="004334D1">
      <w:r w:rsidRPr="00E27E1E">
        <w:t xml:space="preserve">En conclusion, il est proposé d’examiner la représentation des salariés actionnaires, dans le respect des prérogatives des représentants des salariés et du champ de compétences du COPIESAS, </w:t>
      </w:r>
      <w:r w:rsidR="00E27E1E">
        <w:t xml:space="preserve">notamment des décisions qui seront prises en application du rapport </w:t>
      </w:r>
      <w:r w:rsidRPr="00E27E1E">
        <w:t>Notat-Senard</w:t>
      </w:r>
      <w:r w:rsidR="00E27E1E">
        <w:t xml:space="preserve">, </w:t>
      </w:r>
    </w:p>
    <w:p w:rsidR="00D30CDA" w:rsidRDefault="00D30CDA">
      <w:pPr>
        <w:rPr>
          <w:i/>
        </w:rPr>
      </w:pPr>
      <w:r>
        <w:rPr>
          <w:i/>
        </w:rPr>
        <w:br w:type="page"/>
      </w:r>
    </w:p>
    <w:p w:rsidR="004334D1" w:rsidRPr="004D7BFA" w:rsidRDefault="004334D1" w:rsidP="004334D1">
      <w:pPr>
        <w:pStyle w:val="COPIESAS1"/>
      </w:pPr>
      <w:bookmarkStart w:id="163" w:name="_Toc509513842"/>
      <w:r w:rsidRPr="004334D1">
        <w:lastRenderedPageBreak/>
        <w:t>L</w:t>
      </w:r>
      <w:r w:rsidRPr="004D7BFA">
        <w:t>iste des propositions présentées dans le rapport</w:t>
      </w:r>
      <w:bookmarkEnd w:id="163"/>
    </w:p>
    <w:bookmarkStart w:id="164" w:name="_GoBack"/>
    <w:bookmarkEnd w:id="164"/>
    <w:p w:rsidR="00794B97" w:rsidRDefault="00794B97">
      <w:pPr>
        <w:pStyle w:val="TM1"/>
        <w:tabs>
          <w:tab w:val="right" w:leader="dot" w:pos="9062"/>
        </w:tabs>
        <w:rPr>
          <w:rFonts w:eastAsiaTheme="minorEastAsia" w:cstheme="minorBidi"/>
          <w:b w:val="0"/>
          <w:bCs w:val="0"/>
          <w:caps w:val="0"/>
          <w:noProof/>
          <w:sz w:val="22"/>
          <w:szCs w:val="22"/>
          <w:lang w:eastAsia="fr-FR"/>
        </w:rPr>
      </w:pPr>
      <w:r>
        <w:rPr>
          <w:b w:val="0"/>
          <w:bCs w:val="0"/>
          <w:caps w:val="0"/>
        </w:rPr>
        <w:fldChar w:fldCharType="begin"/>
      </w:r>
      <w:r>
        <w:rPr>
          <w:b w:val="0"/>
          <w:bCs w:val="0"/>
          <w:caps w:val="0"/>
        </w:rPr>
        <w:instrText xml:space="preserve"> TOC \o "1-3" \h \z \t "COPIESAS Proposition;1" </w:instrText>
      </w:r>
      <w:r>
        <w:rPr>
          <w:b w:val="0"/>
          <w:bCs w:val="0"/>
          <w:caps w:val="0"/>
        </w:rPr>
        <w:fldChar w:fldCharType="separate"/>
      </w:r>
      <w:hyperlink w:anchor="_Toc509562125" w:history="1">
        <w:r w:rsidRPr="001B5D0D">
          <w:rPr>
            <w:rStyle w:val="Lienhypertexte"/>
            <w:noProof/>
          </w:rPr>
          <w:t>Proposition n°1 : Les salariés des entreprises de moins de 50 salariés sont couverts par au moins un des dispositifs d’épargne salariale : intéressement, participation ou plan d’épargne  comportant éventuellement un dispositif d’actionnariat salarié collectif et liquide. A défaut de dispositif mis en place, un PEE, ou l’adhésion à un PEI, sera institué dans l’entreprise après concertation avec les salariés.</w:t>
        </w:r>
        <w:r>
          <w:rPr>
            <w:noProof/>
            <w:webHidden/>
          </w:rPr>
          <w:tab/>
        </w:r>
        <w:r>
          <w:rPr>
            <w:noProof/>
            <w:webHidden/>
          </w:rPr>
          <w:fldChar w:fldCharType="begin"/>
        </w:r>
        <w:r>
          <w:rPr>
            <w:noProof/>
            <w:webHidden/>
          </w:rPr>
          <w:instrText xml:space="preserve"> PAGEREF _Toc509562125 \h </w:instrText>
        </w:r>
        <w:r>
          <w:rPr>
            <w:noProof/>
            <w:webHidden/>
          </w:rPr>
        </w:r>
        <w:r>
          <w:rPr>
            <w:noProof/>
            <w:webHidden/>
          </w:rPr>
          <w:fldChar w:fldCharType="separate"/>
        </w:r>
        <w:r>
          <w:rPr>
            <w:noProof/>
            <w:webHidden/>
          </w:rPr>
          <w:t>- 10 -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26" w:history="1">
        <w:r w:rsidRPr="001B5D0D">
          <w:rPr>
            <w:rStyle w:val="Lienhypertexte"/>
            <w:noProof/>
          </w:rPr>
          <w:t>Proposition n°2 : Possibilité de conclure un accord d’épargne salariale au sein du CSE dès 11 salariés.</w:t>
        </w:r>
        <w:r>
          <w:rPr>
            <w:noProof/>
            <w:webHidden/>
          </w:rPr>
          <w:tab/>
        </w:r>
        <w:r>
          <w:rPr>
            <w:noProof/>
            <w:webHidden/>
          </w:rPr>
          <w:fldChar w:fldCharType="begin"/>
        </w:r>
        <w:r>
          <w:rPr>
            <w:noProof/>
            <w:webHidden/>
          </w:rPr>
          <w:instrText xml:space="preserve"> PAGEREF _Toc509562126 \h </w:instrText>
        </w:r>
        <w:r>
          <w:rPr>
            <w:noProof/>
            <w:webHidden/>
          </w:rPr>
        </w:r>
        <w:r>
          <w:rPr>
            <w:noProof/>
            <w:webHidden/>
          </w:rPr>
          <w:fldChar w:fldCharType="separate"/>
        </w:r>
        <w:r>
          <w:rPr>
            <w:noProof/>
            <w:webHidden/>
          </w:rPr>
          <w:t>- 10 -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27" w:history="1">
        <w:r w:rsidRPr="001B5D0D">
          <w:rPr>
            <w:rStyle w:val="Lienhypertexte"/>
            <w:noProof/>
          </w:rPr>
          <w:t>Proposition n°3 : Alignement du plafond de versement individuel de l’intéressement (50% du PASS - art. L. 3314-8 CT) sur celui de la participation (3/4 du PASS – article D. 3324-12 CT)</w:t>
        </w:r>
        <w:r>
          <w:rPr>
            <w:noProof/>
            <w:webHidden/>
          </w:rPr>
          <w:tab/>
        </w:r>
        <w:r>
          <w:rPr>
            <w:noProof/>
            <w:webHidden/>
          </w:rPr>
          <w:fldChar w:fldCharType="begin"/>
        </w:r>
        <w:r>
          <w:rPr>
            <w:noProof/>
            <w:webHidden/>
          </w:rPr>
          <w:instrText xml:space="preserve"> PAGEREF _Toc509562127 \h </w:instrText>
        </w:r>
        <w:r>
          <w:rPr>
            <w:noProof/>
            <w:webHidden/>
          </w:rPr>
        </w:r>
        <w:r>
          <w:rPr>
            <w:noProof/>
            <w:webHidden/>
          </w:rPr>
          <w:fldChar w:fldCharType="separate"/>
        </w:r>
        <w:r>
          <w:rPr>
            <w:noProof/>
            <w:webHidden/>
          </w:rPr>
          <w:t>- 10 -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28" w:history="1">
        <w:r w:rsidRPr="001B5D0D">
          <w:rPr>
            <w:rStyle w:val="Lienhypertexte"/>
            <w:noProof/>
          </w:rPr>
          <w:t>Proposition n°4 : En cas de restructuration de l’entreprise, permettre à l’accord d’intéressement de se poursuivre ou d’être renouvelé par accord d’entreprise sans attendre la mise en place de nouvelles Institutions représentatives du personnel (IRP).</w:t>
        </w:r>
        <w:r>
          <w:rPr>
            <w:noProof/>
            <w:webHidden/>
          </w:rPr>
          <w:tab/>
        </w:r>
        <w:r>
          <w:rPr>
            <w:noProof/>
            <w:webHidden/>
          </w:rPr>
          <w:fldChar w:fldCharType="begin"/>
        </w:r>
        <w:r>
          <w:rPr>
            <w:noProof/>
            <w:webHidden/>
          </w:rPr>
          <w:instrText xml:space="preserve"> PAGEREF _Toc509562128 \h </w:instrText>
        </w:r>
        <w:r>
          <w:rPr>
            <w:noProof/>
            <w:webHidden/>
          </w:rPr>
        </w:r>
        <w:r>
          <w:rPr>
            <w:noProof/>
            <w:webHidden/>
          </w:rPr>
          <w:fldChar w:fldCharType="separate"/>
        </w:r>
        <w:r>
          <w:rPr>
            <w:noProof/>
            <w:webHidden/>
          </w:rPr>
          <w:t>- 10 -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29" w:history="1">
        <w:r w:rsidRPr="001B5D0D">
          <w:rPr>
            <w:rStyle w:val="Lienhypertexte"/>
            <w:noProof/>
          </w:rPr>
          <w:t>Proposition n°5 : Sécuriser les exonérations de cotisations sociales pour les trois exercices de l’accord d’intéressement en l’absence de toute observation par l’administration dans un délai de quatre mois après le dépôt de l’accord d’intéressement</w:t>
        </w:r>
        <w:r>
          <w:rPr>
            <w:noProof/>
            <w:webHidden/>
          </w:rPr>
          <w:tab/>
        </w:r>
        <w:r>
          <w:rPr>
            <w:noProof/>
            <w:webHidden/>
          </w:rPr>
          <w:fldChar w:fldCharType="begin"/>
        </w:r>
        <w:r>
          <w:rPr>
            <w:noProof/>
            <w:webHidden/>
          </w:rPr>
          <w:instrText xml:space="preserve"> PAGEREF _Toc509562129 \h </w:instrText>
        </w:r>
        <w:r>
          <w:rPr>
            <w:noProof/>
            <w:webHidden/>
          </w:rPr>
        </w:r>
        <w:r>
          <w:rPr>
            <w:noProof/>
            <w:webHidden/>
          </w:rPr>
          <w:fldChar w:fldCharType="separate"/>
        </w:r>
        <w:r>
          <w:rPr>
            <w:noProof/>
            <w:webHidden/>
          </w:rPr>
          <w:t>- 11 -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30" w:history="1">
        <w:r w:rsidRPr="001B5D0D">
          <w:rPr>
            <w:rStyle w:val="Lienhypertexte"/>
            <w:noProof/>
          </w:rPr>
          <w:t>Proposition n°6 : Etendre, dans un premier temps,  le taux de 8 % pour l’ensemble des entreprises de moins de 50 salariés, y compris  à l’abondement de l’employeur sur les plans d’épargne salariale,</w:t>
        </w:r>
        <w:r w:rsidRPr="001B5D0D">
          <w:rPr>
            <w:rStyle w:val="Lienhypertexte"/>
            <w:rFonts w:ascii="Calibri" w:hAnsi="Calibri" w:cs="Calibri"/>
            <w:noProof/>
          </w:rPr>
          <w:t xml:space="preserve"> et aboutir graduellement d’ici un délai de cinq ans à une suppression totale du forfait social</w:t>
        </w:r>
        <w:r w:rsidRPr="001B5D0D">
          <w:rPr>
            <w:rStyle w:val="Lienhypertexte"/>
            <w:noProof/>
          </w:rPr>
          <w:t>.</w:t>
        </w:r>
        <w:r>
          <w:rPr>
            <w:noProof/>
            <w:webHidden/>
          </w:rPr>
          <w:tab/>
        </w:r>
        <w:r>
          <w:rPr>
            <w:noProof/>
            <w:webHidden/>
          </w:rPr>
          <w:fldChar w:fldCharType="begin"/>
        </w:r>
        <w:r>
          <w:rPr>
            <w:noProof/>
            <w:webHidden/>
          </w:rPr>
          <w:instrText xml:space="preserve"> PAGEREF _Toc509562130 \h </w:instrText>
        </w:r>
        <w:r>
          <w:rPr>
            <w:noProof/>
            <w:webHidden/>
          </w:rPr>
        </w:r>
        <w:r>
          <w:rPr>
            <w:noProof/>
            <w:webHidden/>
          </w:rPr>
          <w:fldChar w:fldCharType="separate"/>
        </w:r>
        <w:r>
          <w:rPr>
            <w:noProof/>
            <w:webHidden/>
          </w:rPr>
          <w:t>- 11 -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31" w:history="1">
        <w:r w:rsidRPr="001B5D0D">
          <w:rPr>
            <w:rStyle w:val="Lienhypertexte"/>
            <w:noProof/>
          </w:rPr>
          <w:t>Proposition n°7 : Proroger l’obligation de négocier dans les branches des accords d’intéressement, de participation et de plans d’épargne afin que soient mis à disposition des entreprises de moins de 50 salariés des accords-type qui pourraient être appliquer directement.</w:t>
        </w:r>
        <w:r>
          <w:rPr>
            <w:noProof/>
            <w:webHidden/>
          </w:rPr>
          <w:tab/>
        </w:r>
        <w:r>
          <w:rPr>
            <w:noProof/>
            <w:webHidden/>
          </w:rPr>
          <w:fldChar w:fldCharType="begin"/>
        </w:r>
        <w:r>
          <w:rPr>
            <w:noProof/>
            <w:webHidden/>
          </w:rPr>
          <w:instrText xml:space="preserve"> PAGEREF _Toc509562131 \h </w:instrText>
        </w:r>
        <w:r>
          <w:rPr>
            <w:noProof/>
            <w:webHidden/>
          </w:rPr>
        </w:r>
        <w:r>
          <w:rPr>
            <w:noProof/>
            <w:webHidden/>
          </w:rPr>
          <w:fldChar w:fldCharType="separate"/>
        </w:r>
        <w:r>
          <w:rPr>
            <w:noProof/>
            <w:webHidden/>
          </w:rPr>
          <w:t>- 12 -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32" w:history="1">
        <w:r w:rsidRPr="001B5D0D">
          <w:rPr>
            <w:rStyle w:val="Lienhypertexte"/>
            <w:noProof/>
          </w:rPr>
          <w:t>Proposition n°8 : Mettre à disposition des TPE/PME sur des sites institutionnels des modèles d’accords d’intéressement ou de participation pour en faciliter la mise en place aux employeurs</w:t>
        </w:r>
        <w:r>
          <w:rPr>
            <w:noProof/>
            <w:webHidden/>
          </w:rPr>
          <w:tab/>
        </w:r>
        <w:r>
          <w:rPr>
            <w:noProof/>
            <w:webHidden/>
          </w:rPr>
          <w:fldChar w:fldCharType="begin"/>
        </w:r>
        <w:r>
          <w:rPr>
            <w:noProof/>
            <w:webHidden/>
          </w:rPr>
          <w:instrText xml:space="preserve"> PAGEREF _Toc509562132 \h </w:instrText>
        </w:r>
        <w:r>
          <w:rPr>
            <w:noProof/>
            <w:webHidden/>
          </w:rPr>
        </w:r>
        <w:r>
          <w:rPr>
            <w:noProof/>
            <w:webHidden/>
          </w:rPr>
          <w:fldChar w:fldCharType="separate"/>
        </w:r>
        <w:r>
          <w:rPr>
            <w:noProof/>
            <w:webHidden/>
          </w:rPr>
          <w:t>- 12 -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33" w:history="1">
        <w:r w:rsidRPr="001B5D0D">
          <w:rPr>
            <w:rStyle w:val="Lienhypertexte"/>
            <w:noProof/>
          </w:rPr>
          <w:t>Proposition n°9 : Favoriser les formations relatives à l’épargne salariale dans les PME au titre de la formation professionnelle</w:t>
        </w:r>
        <w:r>
          <w:rPr>
            <w:noProof/>
            <w:webHidden/>
          </w:rPr>
          <w:tab/>
        </w:r>
        <w:r>
          <w:rPr>
            <w:noProof/>
            <w:webHidden/>
          </w:rPr>
          <w:fldChar w:fldCharType="begin"/>
        </w:r>
        <w:r>
          <w:rPr>
            <w:noProof/>
            <w:webHidden/>
          </w:rPr>
          <w:instrText xml:space="preserve"> PAGEREF _Toc509562133 \h </w:instrText>
        </w:r>
        <w:r>
          <w:rPr>
            <w:noProof/>
            <w:webHidden/>
          </w:rPr>
        </w:r>
        <w:r>
          <w:rPr>
            <w:noProof/>
            <w:webHidden/>
          </w:rPr>
          <w:fldChar w:fldCharType="separate"/>
        </w:r>
        <w:r>
          <w:rPr>
            <w:noProof/>
            <w:webHidden/>
          </w:rPr>
          <w:t>- 13 -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34" w:history="1">
        <w:r w:rsidRPr="001B5D0D">
          <w:rPr>
            <w:rStyle w:val="Lienhypertexte"/>
            <w:noProof/>
          </w:rPr>
          <w:t>Proposition n°10 : Permettre aux TPE/PME de mettre en place une commission de suivi des accords au sein du CSE ou, en l’absence de CSE, composée de salariés volontaires et instaurer une journée annuelle d’information.</w:t>
        </w:r>
        <w:r>
          <w:rPr>
            <w:noProof/>
            <w:webHidden/>
          </w:rPr>
          <w:tab/>
        </w:r>
        <w:r>
          <w:rPr>
            <w:noProof/>
            <w:webHidden/>
          </w:rPr>
          <w:fldChar w:fldCharType="begin"/>
        </w:r>
        <w:r>
          <w:rPr>
            <w:noProof/>
            <w:webHidden/>
          </w:rPr>
          <w:instrText xml:space="preserve"> PAGEREF _Toc509562134 \h </w:instrText>
        </w:r>
        <w:r>
          <w:rPr>
            <w:noProof/>
            <w:webHidden/>
          </w:rPr>
        </w:r>
        <w:r>
          <w:rPr>
            <w:noProof/>
            <w:webHidden/>
          </w:rPr>
          <w:fldChar w:fldCharType="separate"/>
        </w:r>
        <w:r>
          <w:rPr>
            <w:noProof/>
            <w:webHidden/>
          </w:rPr>
          <w:t>- 13 -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35" w:history="1">
        <w:r w:rsidRPr="001B5D0D">
          <w:rPr>
            <w:rStyle w:val="Lienhypertexte"/>
            <w:noProof/>
          </w:rPr>
          <w:t>Proposition n°11 : Promouvoir et appuyer les initiatives institutionnelles d’information sur l’épargne salariale.</w:t>
        </w:r>
        <w:r>
          <w:rPr>
            <w:noProof/>
            <w:webHidden/>
          </w:rPr>
          <w:tab/>
        </w:r>
        <w:r>
          <w:rPr>
            <w:noProof/>
            <w:webHidden/>
          </w:rPr>
          <w:fldChar w:fldCharType="begin"/>
        </w:r>
        <w:r>
          <w:rPr>
            <w:noProof/>
            <w:webHidden/>
          </w:rPr>
          <w:instrText xml:space="preserve"> PAGEREF _Toc509562135 \h </w:instrText>
        </w:r>
        <w:r>
          <w:rPr>
            <w:noProof/>
            <w:webHidden/>
          </w:rPr>
        </w:r>
        <w:r>
          <w:rPr>
            <w:noProof/>
            <w:webHidden/>
          </w:rPr>
          <w:fldChar w:fldCharType="separate"/>
        </w:r>
        <w:r>
          <w:rPr>
            <w:noProof/>
            <w:webHidden/>
          </w:rPr>
          <w:t>- 13 -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36" w:history="1">
        <w:r w:rsidRPr="001B5D0D">
          <w:rPr>
            <w:rStyle w:val="Lienhypertexte"/>
            <w:noProof/>
          </w:rPr>
          <w:t>Proposition n°12 : Simplifier radicalement la formule de calcul de la réserve spéciale de participation en l’exprimant en pourcentage (10%) du bénéfice net comptable.</w:t>
        </w:r>
        <w:r>
          <w:rPr>
            <w:noProof/>
            <w:webHidden/>
          </w:rPr>
          <w:tab/>
        </w:r>
        <w:r>
          <w:rPr>
            <w:noProof/>
            <w:webHidden/>
          </w:rPr>
          <w:fldChar w:fldCharType="begin"/>
        </w:r>
        <w:r>
          <w:rPr>
            <w:noProof/>
            <w:webHidden/>
          </w:rPr>
          <w:instrText xml:space="preserve"> PAGEREF _Toc509562136 \h </w:instrText>
        </w:r>
        <w:r>
          <w:rPr>
            <w:noProof/>
            <w:webHidden/>
          </w:rPr>
        </w:r>
        <w:r>
          <w:rPr>
            <w:noProof/>
            <w:webHidden/>
          </w:rPr>
          <w:fldChar w:fldCharType="separate"/>
        </w:r>
        <w:r>
          <w:rPr>
            <w:noProof/>
            <w:webHidden/>
          </w:rPr>
          <w:t>- 20 -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37" w:history="1">
        <w:r w:rsidRPr="001B5D0D">
          <w:rPr>
            <w:rStyle w:val="Lienhypertexte"/>
            <w:noProof/>
          </w:rPr>
          <w:t>Proposition n°13 : Expertiser la possibilité d’un lissage de la formule sur trois ans.</w:t>
        </w:r>
        <w:r>
          <w:rPr>
            <w:noProof/>
            <w:webHidden/>
          </w:rPr>
          <w:tab/>
        </w:r>
        <w:r>
          <w:rPr>
            <w:noProof/>
            <w:webHidden/>
          </w:rPr>
          <w:fldChar w:fldCharType="begin"/>
        </w:r>
        <w:r>
          <w:rPr>
            <w:noProof/>
            <w:webHidden/>
          </w:rPr>
          <w:instrText xml:space="preserve"> PAGEREF _Toc509562137 \h </w:instrText>
        </w:r>
        <w:r>
          <w:rPr>
            <w:noProof/>
            <w:webHidden/>
          </w:rPr>
        </w:r>
        <w:r>
          <w:rPr>
            <w:noProof/>
            <w:webHidden/>
          </w:rPr>
          <w:fldChar w:fldCharType="separate"/>
        </w:r>
        <w:r>
          <w:rPr>
            <w:noProof/>
            <w:webHidden/>
          </w:rPr>
          <w:t>- 20 -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38" w:history="1">
        <w:r w:rsidRPr="001B5D0D">
          <w:rPr>
            <w:rStyle w:val="Lienhypertexte"/>
            <w:noProof/>
          </w:rPr>
          <w:t>Proposition n°14 : Aménager une période transitoire comprenant une obligation de négocier un nouvel accord de participation en présentant aux partenaires sociaux les résultats de l’ancienne, de la nouvelle formule et de toute autre formule souhaitée. A défaut de nouvel accord à l’issue de la période transitoire, la nouvelle formule s’appliquerait.</w:t>
        </w:r>
        <w:r>
          <w:rPr>
            <w:noProof/>
            <w:webHidden/>
          </w:rPr>
          <w:tab/>
        </w:r>
        <w:r>
          <w:rPr>
            <w:noProof/>
            <w:webHidden/>
          </w:rPr>
          <w:fldChar w:fldCharType="begin"/>
        </w:r>
        <w:r>
          <w:rPr>
            <w:noProof/>
            <w:webHidden/>
          </w:rPr>
          <w:instrText xml:space="preserve"> PAGEREF _Toc509562138 \h </w:instrText>
        </w:r>
        <w:r>
          <w:rPr>
            <w:noProof/>
            <w:webHidden/>
          </w:rPr>
        </w:r>
        <w:r>
          <w:rPr>
            <w:noProof/>
            <w:webHidden/>
          </w:rPr>
          <w:fldChar w:fldCharType="separate"/>
        </w:r>
        <w:r>
          <w:rPr>
            <w:noProof/>
            <w:webHidden/>
          </w:rPr>
          <w:t>- 20 -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39" w:history="1">
        <w:r w:rsidRPr="001B5D0D">
          <w:rPr>
            <w:rStyle w:val="Lienhypertexte"/>
            <w:noProof/>
          </w:rPr>
          <w:t>Proposition n°14 bis : Au-delà de la période d’expérimentation, la formule de calcul de droit commun de la participation resterait d’ordre public pour les entreprises d’au moins cinquante salariés, mais deviendrait supplétive pour les entreprises de moins de cinquante salariés.</w:t>
        </w:r>
        <w:r>
          <w:rPr>
            <w:noProof/>
            <w:webHidden/>
          </w:rPr>
          <w:tab/>
        </w:r>
        <w:r>
          <w:rPr>
            <w:noProof/>
            <w:webHidden/>
          </w:rPr>
          <w:fldChar w:fldCharType="begin"/>
        </w:r>
        <w:r>
          <w:rPr>
            <w:noProof/>
            <w:webHidden/>
          </w:rPr>
          <w:instrText xml:space="preserve"> PAGEREF _Toc509562139 \h </w:instrText>
        </w:r>
        <w:r>
          <w:rPr>
            <w:noProof/>
            <w:webHidden/>
          </w:rPr>
        </w:r>
        <w:r>
          <w:rPr>
            <w:noProof/>
            <w:webHidden/>
          </w:rPr>
          <w:fldChar w:fldCharType="separate"/>
        </w:r>
        <w:r>
          <w:rPr>
            <w:noProof/>
            <w:webHidden/>
          </w:rPr>
          <w:t>- 22 -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40" w:history="1">
        <w:r w:rsidRPr="001B5D0D">
          <w:rPr>
            <w:rStyle w:val="Lienhypertexte"/>
            <w:noProof/>
          </w:rPr>
          <w:t>Proposition n°15 : Maintenir et renforcer la spécificité du PERCO et, s’agissant de sa fiscalité, de la possibilité de sortie en capital ou de la possibilité de sortie anticipée pour acquisition de la résidence principale, afin de maintenir son attractivité.</w:t>
        </w:r>
        <w:r>
          <w:rPr>
            <w:noProof/>
            <w:webHidden/>
          </w:rPr>
          <w:tab/>
        </w:r>
        <w:r>
          <w:rPr>
            <w:noProof/>
            <w:webHidden/>
          </w:rPr>
          <w:fldChar w:fldCharType="begin"/>
        </w:r>
        <w:r>
          <w:rPr>
            <w:noProof/>
            <w:webHidden/>
          </w:rPr>
          <w:instrText xml:space="preserve"> PAGEREF _Toc509562140 \h </w:instrText>
        </w:r>
        <w:r>
          <w:rPr>
            <w:noProof/>
            <w:webHidden/>
          </w:rPr>
        </w:r>
        <w:r>
          <w:rPr>
            <w:noProof/>
            <w:webHidden/>
          </w:rPr>
          <w:fldChar w:fldCharType="separate"/>
        </w:r>
        <w:r>
          <w:rPr>
            <w:noProof/>
            <w:webHidden/>
          </w:rPr>
          <w:t>- 25 -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41" w:history="1">
        <w:r w:rsidRPr="001B5D0D">
          <w:rPr>
            <w:rStyle w:val="Lienhypertexte"/>
            <w:noProof/>
          </w:rPr>
          <w:t>Proposition n°16 : Généraliser le PERCO Plus qui prévoit un fléchage vers des fonds PME/ETI et y inclure un segment solidaire, y compris au sein de la gestion pilotée..</w:t>
        </w:r>
        <w:r>
          <w:rPr>
            <w:noProof/>
            <w:webHidden/>
          </w:rPr>
          <w:tab/>
        </w:r>
        <w:r>
          <w:rPr>
            <w:noProof/>
            <w:webHidden/>
          </w:rPr>
          <w:fldChar w:fldCharType="begin"/>
        </w:r>
        <w:r>
          <w:rPr>
            <w:noProof/>
            <w:webHidden/>
          </w:rPr>
          <w:instrText xml:space="preserve"> PAGEREF _Toc509562141 \h </w:instrText>
        </w:r>
        <w:r>
          <w:rPr>
            <w:noProof/>
            <w:webHidden/>
          </w:rPr>
        </w:r>
        <w:r>
          <w:rPr>
            <w:noProof/>
            <w:webHidden/>
          </w:rPr>
          <w:fldChar w:fldCharType="separate"/>
        </w:r>
        <w:r>
          <w:rPr>
            <w:noProof/>
            <w:webHidden/>
          </w:rPr>
          <w:t>- 25 -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42" w:history="1">
        <w:r w:rsidRPr="001B5D0D">
          <w:rPr>
            <w:rStyle w:val="Lienhypertexte"/>
            <w:noProof/>
          </w:rPr>
          <w:t>Proposition n°17 : Poursuivre la modulation du forfait social en faveur du nouveau PERCO Plus solidaire.</w:t>
        </w:r>
        <w:r>
          <w:rPr>
            <w:noProof/>
            <w:webHidden/>
          </w:rPr>
          <w:tab/>
        </w:r>
        <w:r>
          <w:rPr>
            <w:noProof/>
            <w:webHidden/>
          </w:rPr>
          <w:fldChar w:fldCharType="begin"/>
        </w:r>
        <w:r>
          <w:rPr>
            <w:noProof/>
            <w:webHidden/>
          </w:rPr>
          <w:instrText xml:space="preserve"> PAGEREF _Toc509562142 \h </w:instrText>
        </w:r>
        <w:r>
          <w:rPr>
            <w:noProof/>
            <w:webHidden/>
          </w:rPr>
        </w:r>
        <w:r>
          <w:rPr>
            <w:noProof/>
            <w:webHidden/>
          </w:rPr>
          <w:fldChar w:fldCharType="separate"/>
        </w:r>
        <w:r>
          <w:rPr>
            <w:noProof/>
            <w:webHidden/>
          </w:rPr>
          <w:t>- 25 -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43" w:history="1">
        <w:r w:rsidRPr="001B5D0D">
          <w:rPr>
            <w:rStyle w:val="Lienhypertexte"/>
            <w:noProof/>
          </w:rPr>
          <w:t>Proposition n°18 : Clarifier et généraliser l’information sur la portabilité du PERCO au moment du départ de l’entreprise et encadrer les frais de gestion du plan en cas de départ du salarié de son entreprise.</w:t>
        </w:r>
        <w:r>
          <w:rPr>
            <w:noProof/>
            <w:webHidden/>
          </w:rPr>
          <w:tab/>
        </w:r>
        <w:r>
          <w:rPr>
            <w:noProof/>
            <w:webHidden/>
          </w:rPr>
          <w:fldChar w:fldCharType="begin"/>
        </w:r>
        <w:r>
          <w:rPr>
            <w:noProof/>
            <w:webHidden/>
          </w:rPr>
          <w:instrText xml:space="preserve"> PAGEREF _Toc509562143 \h </w:instrText>
        </w:r>
        <w:r>
          <w:rPr>
            <w:noProof/>
            <w:webHidden/>
          </w:rPr>
        </w:r>
        <w:r>
          <w:rPr>
            <w:noProof/>
            <w:webHidden/>
          </w:rPr>
          <w:fldChar w:fldCharType="separate"/>
        </w:r>
        <w:r>
          <w:rPr>
            <w:noProof/>
            <w:webHidden/>
          </w:rPr>
          <w:t>- 25 -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44" w:history="1">
        <w:r w:rsidRPr="001B5D0D">
          <w:rPr>
            <w:rStyle w:val="Lienhypertexte"/>
            <w:noProof/>
          </w:rPr>
          <w:t>Proposition n°19 : Impulser une négociation nationale sur le PERCO.</w:t>
        </w:r>
        <w:r>
          <w:rPr>
            <w:noProof/>
            <w:webHidden/>
          </w:rPr>
          <w:tab/>
        </w:r>
        <w:r>
          <w:rPr>
            <w:noProof/>
            <w:webHidden/>
          </w:rPr>
          <w:fldChar w:fldCharType="begin"/>
        </w:r>
        <w:r>
          <w:rPr>
            <w:noProof/>
            <w:webHidden/>
          </w:rPr>
          <w:instrText xml:space="preserve"> PAGEREF _Toc509562144 \h </w:instrText>
        </w:r>
        <w:r>
          <w:rPr>
            <w:noProof/>
            <w:webHidden/>
          </w:rPr>
        </w:r>
        <w:r>
          <w:rPr>
            <w:noProof/>
            <w:webHidden/>
          </w:rPr>
          <w:fldChar w:fldCharType="separate"/>
        </w:r>
        <w:r>
          <w:rPr>
            <w:noProof/>
            <w:webHidden/>
          </w:rPr>
          <w:t>- 25 -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45" w:history="1">
        <w:r w:rsidRPr="001B5D0D">
          <w:rPr>
            <w:rStyle w:val="Lienhypertexte"/>
            <w:noProof/>
          </w:rPr>
          <w:t>Proposition n°20 : En cas de départ vers une entreprise ne disposant pas de PERCO, permettre aux salariés ayant des avoirs de faible montant investis sur le PERCO de les basculer vers le PEE de l’ancien employeur.</w:t>
        </w:r>
        <w:r>
          <w:rPr>
            <w:noProof/>
            <w:webHidden/>
          </w:rPr>
          <w:tab/>
        </w:r>
        <w:r>
          <w:rPr>
            <w:noProof/>
            <w:webHidden/>
          </w:rPr>
          <w:fldChar w:fldCharType="begin"/>
        </w:r>
        <w:r>
          <w:rPr>
            <w:noProof/>
            <w:webHidden/>
          </w:rPr>
          <w:instrText xml:space="preserve"> PAGEREF _Toc509562145 \h </w:instrText>
        </w:r>
        <w:r>
          <w:rPr>
            <w:noProof/>
            <w:webHidden/>
          </w:rPr>
        </w:r>
        <w:r>
          <w:rPr>
            <w:noProof/>
            <w:webHidden/>
          </w:rPr>
          <w:fldChar w:fldCharType="separate"/>
        </w:r>
        <w:r>
          <w:rPr>
            <w:noProof/>
            <w:webHidden/>
          </w:rPr>
          <w:t>- 26 -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46" w:history="1">
        <w:r w:rsidRPr="001B5D0D">
          <w:rPr>
            <w:rStyle w:val="Lienhypertexte"/>
            <w:noProof/>
          </w:rPr>
          <w:t>Proposition n°21 : Favoriser l’investissement en actions et en titres d’entreprises solidaires plutôt qu’en titres du marché monétaire en proposant un fonds prudent par défaut investi à 90% en ISR et à 10% en solidaire.</w:t>
        </w:r>
        <w:r>
          <w:rPr>
            <w:noProof/>
            <w:webHidden/>
          </w:rPr>
          <w:tab/>
        </w:r>
        <w:r>
          <w:rPr>
            <w:noProof/>
            <w:webHidden/>
          </w:rPr>
          <w:fldChar w:fldCharType="begin"/>
        </w:r>
        <w:r>
          <w:rPr>
            <w:noProof/>
            <w:webHidden/>
          </w:rPr>
          <w:instrText xml:space="preserve"> PAGEREF _Toc509562146 \h </w:instrText>
        </w:r>
        <w:r>
          <w:rPr>
            <w:noProof/>
            <w:webHidden/>
          </w:rPr>
        </w:r>
        <w:r>
          <w:rPr>
            <w:noProof/>
            <w:webHidden/>
          </w:rPr>
          <w:fldChar w:fldCharType="separate"/>
        </w:r>
        <w:r>
          <w:rPr>
            <w:noProof/>
            <w:webHidden/>
          </w:rPr>
          <w:t>- 26 -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47" w:history="1">
        <w:r w:rsidRPr="001B5D0D">
          <w:rPr>
            <w:rStyle w:val="Lienhypertexte"/>
            <w:noProof/>
          </w:rPr>
          <w:t>Proposition n°22 : Mettre en place une gestion adaptée de la sortie des PERCO en fonction des projets d’utilisation de son épargne par le salarié, en lui permettant de retarder la désensibilisation au risque action pilotée de son PERCO.</w:t>
        </w:r>
        <w:r>
          <w:rPr>
            <w:noProof/>
            <w:webHidden/>
          </w:rPr>
          <w:tab/>
        </w:r>
        <w:r>
          <w:rPr>
            <w:noProof/>
            <w:webHidden/>
          </w:rPr>
          <w:fldChar w:fldCharType="begin"/>
        </w:r>
        <w:r>
          <w:rPr>
            <w:noProof/>
            <w:webHidden/>
          </w:rPr>
          <w:instrText xml:space="preserve"> PAGEREF _Toc509562147 \h </w:instrText>
        </w:r>
        <w:r>
          <w:rPr>
            <w:noProof/>
            <w:webHidden/>
          </w:rPr>
        </w:r>
        <w:r>
          <w:rPr>
            <w:noProof/>
            <w:webHidden/>
          </w:rPr>
          <w:fldChar w:fldCharType="separate"/>
        </w:r>
        <w:r>
          <w:rPr>
            <w:noProof/>
            <w:webHidden/>
          </w:rPr>
          <w:t>- 27 -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48" w:history="1">
        <w:r w:rsidRPr="001B5D0D">
          <w:rPr>
            <w:rStyle w:val="Lienhypertexte"/>
            <w:noProof/>
          </w:rPr>
          <w:t>Proposition n°23 : Prévoir des fonds disposant impérativement d’une gestion socialement responsable ou labellisée « transition écologique et climat » dans les fonds d’épargne salariale (PEE et PERCO) et prévoir l’orientation par défaut du salarié dans le PEE vers un fonds prudent solidaire.</w:t>
        </w:r>
        <w:r>
          <w:rPr>
            <w:noProof/>
            <w:webHidden/>
          </w:rPr>
          <w:tab/>
        </w:r>
        <w:r>
          <w:rPr>
            <w:noProof/>
            <w:webHidden/>
          </w:rPr>
          <w:fldChar w:fldCharType="begin"/>
        </w:r>
        <w:r>
          <w:rPr>
            <w:noProof/>
            <w:webHidden/>
          </w:rPr>
          <w:instrText xml:space="preserve"> PAGEREF _Toc509562148 \h </w:instrText>
        </w:r>
        <w:r>
          <w:rPr>
            <w:noProof/>
            <w:webHidden/>
          </w:rPr>
        </w:r>
        <w:r>
          <w:rPr>
            <w:noProof/>
            <w:webHidden/>
          </w:rPr>
          <w:fldChar w:fldCharType="separate"/>
        </w:r>
        <w:r>
          <w:rPr>
            <w:noProof/>
            <w:webHidden/>
          </w:rPr>
          <w:t>- 27 -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49" w:history="1">
        <w:r w:rsidRPr="001B5D0D">
          <w:rPr>
            <w:rStyle w:val="Lienhypertexte"/>
            <w:noProof/>
          </w:rPr>
          <w:t>Proposition n°24 : Instaurer une aide à la décision en faveur du salarié-épargnant pour le guider dans ses investissements.</w:t>
        </w:r>
        <w:r>
          <w:rPr>
            <w:noProof/>
            <w:webHidden/>
          </w:rPr>
          <w:tab/>
        </w:r>
        <w:r>
          <w:rPr>
            <w:noProof/>
            <w:webHidden/>
          </w:rPr>
          <w:fldChar w:fldCharType="begin"/>
        </w:r>
        <w:r>
          <w:rPr>
            <w:noProof/>
            <w:webHidden/>
          </w:rPr>
          <w:instrText xml:space="preserve"> PAGEREF _Toc509562149 \h </w:instrText>
        </w:r>
        <w:r>
          <w:rPr>
            <w:noProof/>
            <w:webHidden/>
          </w:rPr>
        </w:r>
        <w:r>
          <w:rPr>
            <w:noProof/>
            <w:webHidden/>
          </w:rPr>
          <w:fldChar w:fldCharType="separate"/>
        </w:r>
        <w:r>
          <w:rPr>
            <w:noProof/>
            <w:webHidden/>
          </w:rPr>
          <w:t>- 27 -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50" w:history="1">
        <w:r w:rsidRPr="001B5D0D">
          <w:rPr>
            <w:rStyle w:val="Lienhypertexte"/>
            <w:noProof/>
          </w:rPr>
          <w:t>Proposition n°25 : Instituer un abondement unilatéral de l’employeur sur le PEE, à l’instar du PERCO.</w:t>
        </w:r>
        <w:r>
          <w:rPr>
            <w:noProof/>
            <w:webHidden/>
          </w:rPr>
          <w:tab/>
        </w:r>
        <w:r>
          <w:rPr>
            <w:noProof/>
            <w:webHidden/>
          </w:rPr>
          <w:fldChar w:fldCharType="begin"/>
        </w:r>
        <w:r>
          <w:rPr>
            <w:noProof/>
            <w:webHidden/>
          </w:rPr>
          <w:instrText xml:space="preserve"> PAGEREF _Toc509562150 \h </w:instrText>
        </w:r>
        <w:r>
          <w:rPr>
            <w:noProof/>
            <w:webHidden/>
          </w:rPr>
        </w:r>
        <w:r>
          <w:rPr>
            <w:noProof/>
            <w:webHidden/>
          </w:rPr>
          <w:fldChar w:fldCharType="separate"/>
        </w:r>
        <w:r>
          <w:rPr>
            <w:noProof/>
            <w:webHidden/>
          </w:rPr>
          <w:t>- 30 -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51" w:history="1">
        <w:r w:rsidRPr="001B5D0D">
          <w:rPr>
            <w:rStyle w:val="Lienhypertexte"/>
            <w:noProof/>
          </w:rPr>
          <w:t>Proposition n°26 : Faciliter, sous conditions, l’actionnariat salarié dans les sociétés par actions simplifiées (SAS).</w:t>
        </w:r>
        <w:r>
          <w:rPr>
            <w:noProof/>
            <w:webHidden/>
          </w:rPr>
          <w:tab/>
        </w:r>
        <w:r>
          <w:rPr>
            <w:noProof/>
            <w:webHidden/>
          </w:rPr>
          <w:fldChar w:fldCharType="begin"/>
        </w:r>
        <w:r>
          <w:rPr>
            <w:noProof/>
            <w:webHidden/>
          </w:rPr>
          <w:instrText xml:space="preserve"> PAGEREF _Toc509562151 \h </w:instrText>
        </w:r>
        <w:r>
          <w:rPr>
            <w:noProof/>
            <w:webHidden/>
          </w:rPr>
        </w:r>
        <w:r>
          <w:rPr>
            <w:noProof/>
            <w:webHidden/>
          </w:rPr>
          <w:fldChar w:fldCharType="separate"/>
        </w:r>
        <w:r>
          <w:rPr>
            <w:noProof/>
            <w:webHidden/>
          </w:rPr>
          <w:t>- 30 -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52" w:history="1">
        <w:r w:rsidRPr="001B5D0D">
          <w:rPr>
            <w:rStyle w:val="Lienhypertexte"/>
            <w:noProof/>
          </w:rPr>
          <w:t>Proposition n°27 : Clarifier les méthodes de valorisation de l’entreprise en laissant un choix entre trois formules qui seraient validées par l’administration fiscale.</w:t>
        </w:r>
        <w:r>
          <w:rPr>
            <w:noProof/>
            <w:webHidden/>
          </w:rPr>
          <w:tab/>
        </w:r>
        <w:r>
          <w:rPr>
            <w:noProof/>
            <w:webHidden/>
          </w:rPr>
          <w:fldChar w:fldCharType="begin"/>
        </w:r>
        <w:r>
          <w:rPr>
            <w:noProof/>
            <w:webHidden/>
          </w:rPr>
          <w:instrText xml:space="preserve"> PAGEREF _Toc509562152 \h </w:instrText>
        </w:r>
        <w:r>
          <w:rPr>
            <w:noProof/>
            <w:webHidden/>
          </w:rPr>
        </w:r>
        <w:r>
          <w:rPr>
            <w:noProof/>
            <w:webHidden/>
          </w:rPr>
          <w:fldChar w:fldCharType="separate"/>
        </w:r>
        <w:r>
          <w:rPr>
            <w:noProof/>
            <w:webHidden/>
          </w:rPr>
          <w:t>- 32 -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53" w:history="1">
        <w:r w:rsidRPr="001B5D0D">
          <w:rPr>
            <w:rStyle w:val="Lienhypertexte"/>
            <w:noProof/>
          </w:rPr>
          <w:t>Proposition n°28 : Faciliter la transmission d’entreprises non cotées via l’actionnariat salarié dans le cadre d’une opération collective.</w:t>
        </w:r>
        <w:r>
          <w:rPr>
            <w:noProof/>
            <w:webHidden/>
          </w:rPr>
          <w:tab/>
        </w:r>
        <w:r>
          <w:rPr>
            <w:noProof/>
            <w:webHidden/>
          </w:rPr>
          <w:fldChar w:fldCharType="begin"/>
        </w:r>
        <w:r>
          <w:rPr>
            <w:noProof/>
            <w:webHidden/>
          </w:rPr>
          <w:instrText xml:space="preserve"> PAGEREF _Toc509562153 \h </w:instrText>
        </w:r>
        <w:r>
          <w:rPr>
            <w:noProof/>
            <w:webHidden/>
          </w:rPr>
        </w:r>
        <w:r>
          <w:rPr>
            <w:noProof/>
            <w:webHidden/>
          </w:rPr>
          <w:fldChar w:fldCharType="separate"/>
        </w:r>
        <w:r>
          <w:rPr>
            <w:noProof/>
            <w:webHidden/>
          </w:rPr>
          <w:t>- 32 -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54" w:history="1">
        <w:r w:rsidRPr="001B5D0D">
          <w:rPr>
            <w:rStyle w:val="Lienhypertexte"/>
            <w:noProof/>
          </w:rPr>
          <w:t>Proposition n°29 : Expertiser un mécanisme de portage des titres non cotés et des titres solidaires par la Caisse des dépôts.</w:t>
        </w:r>
        <w:r>
          <w:rPr>
            <w:noProof/>
            <w:webHidden/>
          </w:rPr>
          <w:tab/>
        </w:r>
        <w:r>
          <w:rPr>
            <w:noProof/>
            <w:webHidden/>
          </w:rPr>
          <w:fldChar w:fldCharType="begin"/>
        </w:r>
        <w:r>
          <w:rPr>
            <w:noProof/>
            <w:webHidden/>
          </w:rPr>
          <w:instrText xml:space="preserve"> PAGEREF _Toc509562154 \h </w:instrText>
        </w:r>
        <w:r>
          <w:rPr>
            <w:noProof/>
            <w:webHidden/>
          </w:rPr>
        </w:r>
        <w:r>
          <w:rPr>
            <w:noProof/>
            <w:webHidden/>
          </w:rPr>
          <w:fldChar w:fldCharType="separate"/>
        </w:r>
        <w:r>
          <w:rPr>
            <w:noProof/>
            <w:webHidden/>
          </w:rPr>
          <w:t>- 32 -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55" w:history="1">
        <w:r w:rsidRPr="001B5D0D">
          <w:rPr>
            <w:rStyle w:val="Lienhypertexte"/>
            <w:noProof/>
          </w:rPr>
          <w:t>Proposition n°30 : Organiser le déport obligatoire des employeurs au moment de la détermination de la politique de vote sur les résolutions.</w:t>
        </w:r>
        <w:r>
          <w:rPr>
            <w:noProof/>
            <w:webHidden/>
          </w:rPr>
          <w:tab/>
        </w:r>
        <w:r>
          <w:rPr>
            <w:noProof/>
            <w:webHidden/>
          </w:rPr>
          <w:fldChar w:fldCharType="begin"/>
        </w:r>
        <w:r>
          <w:rPr>
            <w:noProof/>
            <w:webHidden/>
          </w:rPr>
          <w:instrText xml:space="preserve"> PAGEREF _Toc509562155 \h </w:instrText>
        </w:r>
        <w:r>
          <w:rPr>
            <w:noProof/>
            <w:webHidden/>
          </w:rPr>
        </w:r>
        <w:r>
          <w:rPr>
            <w:noProof/>
            <w:webHidden/>
          </w:rPr>
          <w:fldChar w:fldCharType="separate"/>
        </w:r>
        <w:r>
          <w:rPr>
            <w:noProof/>
            <w:webHidden/>
          </w:rPr>
          <w:t>- 33 -</w:t>
        </w:r>
        <w:r>
          <w:rPr>
            <w:noProof/>
            <w:webHidden/>
          </w:rPr>
          <w:fldChar w:fldCharType="end"/>
        </w:r>
      </w:hyperlink>
    </w:p>
    <w:p w:rsidR="00794B97" w:rsidRDefault="00794B97">
      <w:pPr>
        <w:pStyle w:val="TM1"/>
        <w:tabs>
          <w:tab w:val="right" w:leader="dot" w:pos="9062"/>
        </w:tabs>
        <w:rPr>
          <w:rFonts w:eastAsiaTheme="minorEastAsia" w:cstheme="minorBidi"/>
          <w:b w:val="0"/>
          <w:bCs w:val="0"/>
          <w:caps w:val="0"/>
          <w:noProof/>
          <w:sz w:val="22"/>
          <w:szCs w:val="22"/>
          <w:lang w:eastAsia="fr-FR"/>
        </w:rPr>
      </w:pPr>
      <w:hyperlink w:anchor="_Toc509562156" w:history="1">
        <w:r w:rsidRPr="001B5D0D">
          <w:rPr>
            <w:rStyle w:val="Lienhypertexte"/>
            <w:noProof/>
          </w:rPr>
          <w:t>Proposition n°31 : Etendre la représentation des salariés actionnaires dans les entreprises non cotées.</w:t>
        </w:r>
        <w:r>
          <w:rPr>
            <w:noProof/>
            <w:webHidden/>
          </w:rPr>
          <w:tab/>
        </w:r>
        <w:r>
          <w:rPr>
            <w:noProof/>
            <w:webHidden/>
          </w:rPr>
          <w:fldChar w:fldCharType="begin"/>
        </w:r>
        <w:r>
          <w:rPr>
            <w:noProof/>
            <w:webHidden/>
          </w:rPr>
          <w:instrText xml:space="preserve"> PAGEREF _Toc509562156 \h </w:instrText>
        </w:r>
        <w:r>
          <w:rPr>
            <w:noProof/>
            <w:webHidden/>
          </w:rPr>
        </w:r>
        <w:r>
          <w:rPr>
            <w:noProof/>
            <w:webHidden/>
          </w:rPr>
          <w:fldChar w:fldCharType="separate"/>
        </w:r>
        <w:r>
          <w:rPr>
            <w:noProof/>
            <w:webHidden/>
          </w:rPr>
          <w:t>- 33 -</w:t>
        </w:r>
        <w:r>
          <w:rPr>
            <w:noProof/>
            <w:webHidden/>
          </w:rPr>
          <w:fldChar w:fldCharType="end"/>
        </w:r>
      </w:hyperlink>
    </w:p>
    <w:p w:rsidR="00F833DC" w:rsidRPr="004D7BFA" w:rsidRDefault="00794B97" w:rsidP="00DB5578">
      <w:pPr>
        <w:pStyle w:val="COPIESAS1"/>
      </w:pPr>
      <w:r>
        <w:rPr>
          <w:rFonts w:cstheme="minorHAnsi"/>
          <w:b w:val="0"/>
          <w:bCs/>
          <w:caps/>
          <w:sz w:val="20"/>
          <w:szCs w:val="20"/>
        </w:rPr>
        <w:fldChar w:fldCharType="end"/>
      </w:r>
      <w:r w:rsidR="00DE5825">
        <w:br w:type="page"/>
      </w:r>
      <w:bookmarkStart w:id="165" w:name="_Toc509513843"/>
      <w:r w:rsidR="00F833DC">
        <w:lastRenderedPageBreak/>
        <w:t>Programme de travail 2018 du COPIESAS</w:t>
      </w:r>
      <w:bookmarkEnd w:id="165"/>
    </w:p>
    <w:p w:rsidR="00F833DC" w:rsidRDefault="00F833DC" w:rsidP="00F0270F">
      <w:pPr>
        <w:jc w:val="both"/>
      </w:pPr>
      <w:r>
        <w:t>Lors des cinq réunions du COPIESAS en février et mars 2018, les membres n’ont pas été en mesure d’approfondir certains thèmes de discussion, dont</w:t>
      </w:r>
      <w:r w:rsidR="006215D9">
        <w:t xml:space="preserve"> ils ont jugé que </w:t>
      </w:r>
      <w:r>
        <w:t xml:space="preserve">l’importance mérite néanmoins </w:t>
      </w:r>
      <w:r w:rsidR="006215D9">
        <w:t>de plus amples débats. Aussi, les sujets listés ci-dessous pourront être mis à l’ordre du jour de prochaines réunions de l’instance.</w:t>
      </w:r>
    </w:p>
    <w:p w:rsidR="006215D9" w:rsidRDefault="00802442" w:rsidP="00F0270F">
      <w:pPr>
        <w:pStyle w:val="Paragraphedeliste"/>
        <w:numPr>
          <w:ilvl w:val="0"/>
          <w:numId w:val="5"/>
        </w:numPr>
        <w:spacing w:before="240" w:after="240"/>
        <w:jc w:val="both"/>
      </w:pPr>
      <w:r w:rsidRPr="00F0270F">
        <w:rPr>
          <w:b/>
        </w:rPr>
        <w:t>Formation</w:t>
      </w:r>
      <w:r>
        <w:t> : un groupe de travail du COPIESAS sera institué de façon à envisager des mesures concrètes en faveur du développement de la formation des salariés et des employeurs relative à l’épargne salariale, et formuler toute recommandation en matière de formation.</w:t>
      </w:r>
    </w:p>
    <w:p w:rsidR="00802442" w:rsidRDefault="00802442" w:rsidP="00F0270F">
      <w:pPr>
        <w:pStyle w:val="Paragraphedeliste"/>
        <w:numPr>
          <w:ilvl w:val="0"/>
          <w:numId w:val="5"/>
        </w:numPr>
        <w:spacing w:before="240" w:after="240"/>
        <w:jc w:val="both"/>
      </w:pPr>
      <w:r w:rsidRPr="00F0270F">
        <w:rPr>
          <w:b/>
        </w:rPr>
        <w:t>Participation</w:t>
      </w:r>
      <w:r>
        <w:t> : u</w:t>
      </w:r>
      <w:r w:rsidRPr="00802442">
        <w:t xml:space="preserve">ne </w:t>
      </w:r>
      <w:r>
        <w:t xml:space="preserve">réunion pourrait être consacrée au caractère </w:t>
      </w:r>
      <w:r w:rsidRPr="00802442">
        <w:t>d’ordre public ou suppléti</w:t>
      </w:r>
      <w:r>
        <w:t>f de la formule de calcul de la RSP.</w:t>
      </w:r>
    </w:p>
    <w:p w:rsidR="00537895" w:rsidRDefault="00537895" w:rsidP="00F0270F">
      <w:pPr>
        <w:pStyle w:val="Paragraphedeliste"/>
        <w:numPr>
          <w:ilvl w:val="0"/>
          <w:numId w:val="5"/>
        </w:numPr>
        <w:spacing w:before="240" w:after="240"/>
        <w:jc w:val="both"/>
      </w:pPr>
      <w:r w:rsidRPr="00F0270F">
        <w:rPr>
          <w:b/>
        </w:rPr>
        <w:t>PERCO</w:t>
      </w:r>
      <w:r>
        <w:t> : évolution de l’épargne retraite au sein de l’épargne salariale dans le cadre du projet de loi PACTE</w:t>
      </w:r>
    </w:p>
    <w:p w:rsidR="002D07AB" w:rsidRDefault="002D07AB" w:rsidP="00E27E1E">
      <w:pPr>
        <w:pStyle w:val="Paragraphedeliste"/>
        <w:numPr>
          <w:ilvl w:val="0"/>
          <w:numId w:val="5"/>
        </w:numPr>
        <w:spacing w:before="240" w:after="240"/>
        <w:jc w:val="both"/>
      </w:pPr>
      <w:r>
        <w:rPr>
          <w:b/>
        </w:rPr>
        <w:t>Portage des titres </w:t>
      </w:r>
      <w:r w:rsidRPr="00E27E1E">
        <w:t>:</w:t>
      </w:r>
      <w:r>
        <w:t xml:space="preserve"> </w:t>
      </w:r>
      <w:r w:rsidRPr="002D07AB">
        <w:t>un groupe de travail conjoint Caisse des dépôts/COPIESAS</w:t>
      </w:r>
      <w:r w:rsidR="00E27E1E" w:rsidRPr="00E27E1E">
        <w:t xml:space="preserve"> </w:t>
      </w:r>
      <w:r w:rsidR="00E27E1E">
        <w:t xml:space="preserve">pourrait être institué pour </w:t>
      </w:r>
      <w:r w:rsidR="00E27E1E" w:rsidRPr="00E27E1E">
        <w:t>étudie</w:t>
      </w:r>
      <w:r w:rsidR="00E27E1E">
        <w:t>r</w:t>
      </w:r>
      <w:r w:rsidR="00E27E1E" w:rsidRPr="00E27E1E">
        <w:t xml:space="preserve"> la mise en place d’un mécanisme de portage destiné à assurer la liquidité des titres des entreprises non cotées</w:t>
      </w:r>
      <w:r w:rsidR="00E27E1E">
        <w:t>.</w:t>
      </w:r>
    </w:p>
    <w:p w:rsidR="006A24BC" w:rsidRDefault="006A24BC" w:rsidP="00F0270F">
      <w:pPr>
        <w:pStyle w:val="Paragraphedeliste"/>
        <w:numPr>
          <w:ilvl w:val="0"/>
          <w:numId w:val="5"/>
        </w:numPr>
        <w:spacing w:before="240" w:after="240"/>
        <w:jc w:val="both"/>
      </w:pPr>
      <w:r w:rsidRPr="00F0270F">
        <w:rPr>
          <w:b/>
        </w:rPr>
        <w:t>Gouvernance</w:t>
      </w:r>
      <w:r>
        <w:t> : le COPIESAS sera amené à se prononcer sur la représentation des salariés et des salariés actionnaires</w:t>
      </w:r>
      <w:r w:rsidR="00537895">
        <w:t xml:space="preserve"> à la lumière des conclusions du rapport Notat – Senard.</w:t>
      </w:r>
    </w:p>
    <w:p w:rsidR="00F833DC" w:rsidRDefault="00F833DC">
      <w:r>
        <w:br w:type="page"/>
      </w:r>
    </w:p>
    <w:p w:rsidR="00FC1271" w:rsidRPr="00EF4490" w:rsidRDefault="00FC1271" w:rsidP="00993C3C">
      <w:pPr>
        <w:pStyle w:val="COPIESAS1"/>
      </w:pPr>
      <w:bookmarkStart w:id="166" w:name="_Toc509513844"/>
      <w:r>
        <w:lastRenderedPageBreak/>
        <w:t>Contributions spécifiques des membres du COPIESAS</w:t>
      </w:r>
      <w:bookmarkEnd w:id="166"/>
    </w:p>
    <w:p w:rsidR="00FC1271" w:rsidRPr="00FC1271" w:rsidRDefault="00FC1271" w:rsidP="00FC1271">
      <w:pPr>
        <w:jc w:val="both"/>
        <w:rPr>
          <w:i/>
        </w:rPr>
      </w:pPr>
      <w:r w:rsidRPr="00FC1271">
        <w:rPr>
          <w:i/>
        </w:rPr>
        <w:t>Cette partie reprend les contributions que les membres du Conseil ont souhaité voir annexé</w:t>
      </w:r>
      <w:r>
        <w:rPr>
          <w:i/>
        </w:rPr>
        <w:t>es</w:t>
      </w:r>
      <w:r w:rsidRPr="00FC1271">
        <w:rPr>
          <w:i/>
        </w:rPr>
        <w:t xml:space="preserve"> au rapport pour préciser leur position au regard de certaines propositions présentées dans le rapport voire</w:t>
      </w:r>
      <w:r>
        <w:rPr>
          <w:i/>
        </w:rPr>
        <w:t>,</w:t>
      </w:r>
      <w:r w:rsidRPr="00FC1271">
        <w:rPr>
          <w:i/>
        </w:rPr>
        <w:t xml:space="preserve"> dans certains cas, exprimer un point de vue divergent.</w:t>
      </w:r>
    </w:p>
    <w:p w:rsidR="00FC1271" w:rsidRDefault="00FC1271" w:rsidP="00FC1271">
      <w:pPr>
        <w:jc w:val="both"/>
        <w:rPr>
          <w:b/>
        </w:rPr>
      </w:pPr>
    </w:p>
    <w:p w:rsidR="00FC1271" w:rsidRPr="00FC1271" w:rsidRDefault="00FC1271" w:rsidP="00794B97">
      <w:pPr>
        <w:pStyle w:val="COPIESAS2"/>
      </w:pPr>
      <w:bookmarkStart w:id="167" w:name="_Toc509513845"/>
      <w:r w:rsidRPr="00FC1271">
        <w:t>Au titre des partenaires sociaux</w:t>
      </w:r>
      <w:bookmarkEnd w:id="167"/>
    </w:p>
    <w:p w:rsidR="00DB5578" w:rsidRDefault="00DB5578" w:rsidP="00794B97">
      <w:pPr>
        <w:pStyle w:val="COPIESAS2"/>
      </w:pPr>
      <w:bookmarkStart w:id="168" w:name="_Toc509513846"/>
      <w:r>
        <w:t>Contribution de la CPME</w:t>
      </w:r>
      <w:bookmarkEnd w:id="168"/>
    </w:p>
    <w:p w:rsidR="00DB5578" w:rsidRPr="00794B97" w:rsidRDefault="00DB5578" w:rsidP="00794B97">
      <w:pPr>
        <w:spacing w:after="0"/>
        <w:jc w:val="both"/>
      </w:pPr>
      <w:r w:rsidRPr="00794B97">
        <w:t>1 - Pour la CPME, nous notons avec satisfaction le fait que l’obligation de mettre en place une réserve spéciale de participation (RSP) continuera de s’appliquer uniquement dans les entreprises de 50 salariés et plus.</w:t>
      </w:r>
    </w:p>
    <w:p w:rsidR="00DB5578" w:rsidRPr="00794B97" w:rsidRDefault="00DB5578" w:rsidP="00794B97">
      <w:pPr>
        <w:spacing w:after="0"/>
        <w:jc w:val="both"/>
      </w:pPr>
    </w:p>
    <w:p w:rsidR="00DB5578" w:rsidRPr="00794B97" w:rsidRDefault="00DB5578" w:rsidP="00794B97">
      <w:pPr>
        <w:spacing w:after="0"/>
        <w:jc w:val="both"/>
      </w:pPr>
      <w:r w:rsidRPr="00794B97">
        <w:t>2 - La CPME accueille favorablement la volonté de mettre en place une nouvelle formule de calcul de la RSP se basant sur les bénéfices comptables. Il s’agit là d’une réelle simplification et clarification du dispositif pour les dirigeants d’entreprise. En revanche, nous souhaitons vraiment que les années déficitaires puissent être déduites des années excédentaires, que les participations financières soient bien déduites comme préconisé dans le Rapport, et nous sommes contre la suppression des 3 critères de répartition possible de la RSP.</w:t>
      </w:r>
    </w:p>
    <w:p w:rsidR="00DB5578" w:rsidRPr="00794B97" w:rsidRDefault="00DB5578" w:rsidP="00794B97">
      <w:pPr>
        <w:spacing w:after="0"/>
        <w:jc w:val="both"/>
      </w:pPr>
      <w:r w:rsidRPr="00794B97">
        <w:t xml:space="preserve"> </w:t>
      </w:r>
    </w:p>
    <w:p w:rsidR="00DB5578" w:rsidRPr="00794B97" w:rsidRDefault="00DB5578" w:rsidP="00794B97">
      <w:pPr>
        <w:spacing w:after="0"/>
        <w:jc w:val="both"/>
      </w:pPr>
      <w:r w:rsidRPr="00794B97">
        <w:t>3 -  S’agissant toujours de cette formule, la CPME souhaite que le rapport précise qu’il n’y a pas encore eu de véritable étude d’impact portant sur l’augmentation du montant total de la participation versée par les entreprises de 50 salariés et plus en fonction du taux qui serait appliqué sur les bénéfices comptables.</w:t>
      </w:r>
    </w:p>
    <w:p w:rsidR="00DB5578" w:rsidRPr="00794B97" w:rsidRDefault="00DB5578" w:rsidP="00794B97">
      <w:pPr>
        <w:spacing w:after="0"/>
        <w:jc w:val="both"/>
      </w:pPr>
    </w:p>
    <w:p w:rsidR="00DB5578" w:rsidRPr="00794B97" w:rsidRDefault="00DB5578" w:rsidP="00794B97">
      <w:pPr>
        <w:spacing w:after="0"/>
        <w:jc w:val="both"/>
      </w:pPr>
      <w:r w:rsidRPr="00794B97">
        <w:t>4 - Nous insistons sur le maintien de la possibilité de sortie en capital concernant le PERCO</w:t>
      </w:r>
    </w:p>
    <w:p w:rsidR="00DB5578" w:rsidRPr="00794B97" w:rsidRDefault="00DB5578" w:rsidP="00794B97">
      <w:pPr>
        <w:spacing w:after="0"/>
        <w:jc w:val="both"/>
      </w:pPr>
    </w:p>
    <w:p w:rsidR="00DB5578" w:rsidRPr="00794B97" w:rsidRDefault="00DB5578" w:rsidP="00794B97">
      <w:pPr>
        <w:spacing w:after="0"/>
        <w:jc w:val="both"/>
      </w:pPr>
      <w:r w:rsidRPr="00794B97">
        <w:t>5 – Concernant l’actionnariat salarié, la CPME ne souhaite pas qu’il devienne obligatoire pour les TPE/PME et les entreprises non cotées. En revanche nous sommes favorables à des mesures pouvant favoriser la transmission des entreprises.</w:t>
      </w:r>
    </w:p>
    <w:p w:rsidR="00DB5578" w:rsidRPr="00794B97" w:rsidRDefault="00DB5578" w:rsidP="00794B97">
      <w:pPr>
        <w:spacing w:after="0"/>
        <w:jc w:val="both"/>
      </w:pPr>
      <w:r w:rsidRPr="00794B97">
        <w:t xml:space="preserve"> </w:t>
      </w:r>
    </w:p>
    <w:p w:rsidR="00DB5578" w:rsidRPr="00794B97" w:rsidRDefault="00DB5578" w:rsidP="00794B97">
      <w:pPr>
        <w:spacing w:after="0"/>
        <w:jc w:val="both"/>
      </w:pPr>
      <w:r w:rsidRPr="00794B97">
        <w:t>6 - La CPME, ainsi qu’elle l’a à maintes reprises fait savoir, n’entend pas accepter la généralisation de l’épargne salariale aux entreprises de moins de 50 salariés (il va sans dire à quel point elle est opposée à cette généralisation pour les entreprises de moins de 11 salariés…).</w:t>
      </w:r>
    </w:p>
    <w:p w:rsidR="00DB5578" w:rsidRPr="00794B97" w:rsidRDefault="00DB5578" w:rsidP="00794B97">
      <w:pPr>
        <w:spacing w:after="0"/>
        <w:jc w:val="both"/>
      </w:pPr>
      <w:r w:rsidRPr="00794B97">
        <w:t xml:space="preserve"> </w:t>
      </w:r>
    </w:p>
    <w:p w:rsidR="00DB5578" w:rsidRPr="00794B97" w:rsidRDefault="00DB5578" w:rsidP="00794B97">
      <w:pPr>
        <w:spacing w:after="0"/>
        <w:jc w:val="both"/>
      </w:pPr>
      <w:r w:rsidRPr="00794B97">
        <w:t>Le fait que les entreprises de moins de 50 salariés doivent mettre en place de manière obligatoire au moins un des dispositifs d’épargne salariale conduira inévitablement à complexifier la gestion d’entreprises de petite taille.</w:t>
      </w:r>
    </w:p>
    <w:p w:rsidR="00DB5578" w:rsidRPr="00794B97" w:rsidRDefault="00DB5578" w:rsidP="00794B97">
      <w:pPr>
        <w:spacing w:after="0"/>
        <w:jc w:val="both"/>
      </w:pPr>
      <w:r w:rsidRPr="00794B97">
        <w:t xml:space="preserve"> </w:t>
      </w:r>
    </w:p>
    <w:p w:rsidR="00DB5578" w:rsidRPr="00794B97" w:rsidRDefault="00DB5578" w:rsidP="00794B97">
      <w:pPr>
        <w:spacing w:after="0"/>
        <w:jc w:val="both"/>
      </w:pPr>
      <w:r w:rsidRPr="00794B97">
        <w:t>Par ailleurs, dans de nombreuses situations, les comptes ouverts au profit des salariés demeureront dormants.</w:t>
      </w:r>
    </w:p>
    <w:p w:rsidR="00DB5578" w:rsidRPr="00794B97" w:rsidRDefault="00DB5578" w:rsidP="00794B97">
      <w:pPr>
        <w:spacing w:after="0"/>
        <w:jc w:val="both"/>
      </w:pPr>
    </w:p>
    <w:p w:rsidR="00DB5578" w:rsidRPr="00794B97" w:rsidRDefault="00DB5578" w:rsidP="00794B97">
      <w:pPr>
        <w:spacing w:after="0"/>
        <w:jc w:val="both"/>
      </w:pPr>
      <w:r w:rsidRPr="00794B97">
        <w:lastRenderedPageBreak/>
        <w:t>La CPME met en garde sur le fait que les règles de frais de tenue de comptes sont fixées par les organismes gestionnaires de l’épargne salariale et que l’absence d’encadrement leur permettra de fixer des frais de tenue de comptes à la charge de l’entreprise, quand bien même ces comptes ne seraient pas activés. Il s’agirait là d’une situation en la faveur des organismes gestionnaires de l’épargne salariale totalement inacceptable pour les dirigeants d’entreprise.</w:t>
      </w:r>
    </w:p>
    <w:p w:rsidR="00DB5578" w:rsidRPr="00794B97" w:rsidRDefault="00DB5578" w:rsidP="00794B97">
      <w:pPr>
        <w:spacing w:after="0"/>
        <w:jc w:val="both"/>
      </w:pPr>
    </w:p>
    <w:p w:rsidR="00FC1271" w:rsidRDefault="00DB5578" w:rsidP="00794B97">
      <w:pPr>
        <w:spacing w:after="0"/>
        <w:jc w:val="both"/>
        <w:rPr>
          <w:b/>
        </w:rPr>
      </w:pPr>
      <w:r w:rsidRPr="00794B97">
        <w:t>Dès lors, au regard des deux derniers points évoqués ci-dessus et en l’état rédactionnel du projet de rapport, la CPME ne pourrait qu’émettre un avis défavorable.</w:t>
      </w:r>
    </w:p>
    <w:p w:rsidR="00FC1271" w:rsidRDefault="00FC1271" w:rsidP="00FC1271">
      <w:pPr>
        <w:jc w:val="both"/>
        <w:rPr>
          <w:b/>
        </w:rPr>
      </w:pPr>
    </w:p>
    <w:p w:rsidR="00DB5578" w:rsidRDefault="00DB5578" w:rsidP="00DB5578">
      <w:pPr>
        <w:pStyle w:val="COPIESAS2"/>
      </w:pPr>
      <w:bookmarkStart w:id="169" w:name="_Toc509513847"/>
      <w:r>
        <w:t>Contribution de l’U2P</w:t>
      </w:r>
      <w:bookmarkEnd w:id="169"/>
    </w:p>
    <w:p w:rsidR="0007241E" w:rsidRPr="00794B97" w:rsidRDefault="0007241E" w:rsidP="0007241E">
      <w:pPr>
        <w:jc w:val="both"/>
      </w:pPr>
      <w:r w:rsidRPr="00794B97">
        <w:t xml:space="preserve">L’U2P souhaite voir l’épargne salariale se développer au sein des entreprises de son ressort </w:t>
      </w:r>
    </w:p>
    <w:p w:rsidR="0007241E" w:rsidRPr="00794B97" w:rsidRDefault="0007241E" w:rsidP="0007241E">
      <w:pPr>
        <w:jc w:val="both"/>
      </w:pPr>
      <w:r w:rsidRPr="00794B97">
        <w:tab/>
        <w:t>Différentes initiatives de sa part témoignent d’une volonté forte en ce domaine.</w:t>
      </w:r>
    </w:p>
    <w:p w:rsidR="0007241E" w:rsidRPr="00794B97" w:rsidRDefault="0007241E" w:rsidP="0007241E">
      <w:pPr>
        <w:jc w:val="both"/>
      </w:pPr>
      <w:r w:rsidRPr="00794B97">
        <w:tab/>
        <w:t xml:space="preserve">Plusieurs de ses organisations membres (des secteurs des professions libérales, du BTP, de la coiffure, de la charcuterie) ont ainsi conclu des accords </w:t>
      </w:r>
      <w:r w:rsidRPr="0007241E">
        <w:t>collectifs</w:t>
      </w:r>
      <w:r w:rsidRPr="00794B97">
        <w:t xml:space="preserve"> visant à favoriser la diffusion du plan d’épargne d’entreprise chez leurs ressortissants. </w:t>
      </w:r>
    </w:p>
    <w:p w:rsidR="0007241E" w:rsidRPr="00794B97" w:rsidRDefault="0007241E" w:rsidP="0007241E">
      <w:pPr>
        <w:jc w:val="both"/>
      </w:pPr>
      <w:r w:rsidRPr="00794B97">
        <w:tab/>
        <w:t xml:space="preserve">Un grand effort de pédagogie est en outre déployé par ses différentes structures afin de sensibiliser à l’épargne salariale les centaines de milliers de petits employeurs qu’elle représente. </w:t>
      </w:r>
    </w:p>
    <w:p w:rsidR="0007241E" w:rsidRPr="00794B97" w:rsidRDefault="0007241E" w:rsidP="0007241E">
      <w:pPr>
        <w:jc w:val="both"/>
      </w:pPr>
      <w:r w:rsidRPr="00794B97">
        <w:t>Elle considère que la puissance publique doit jouer en la matière un rôle facilitateur et incitatif</w:t>
      </w:r>
    </w:p>
    <w:p w:rsidR="0007241E" w:rsidRPr="00794B97" w:rsidRDefault="0007241E" w:rsidP="0007241E">
      <w:pPr>
        <w:jc w:val="both"/>
      </w:pPr>
      <w:r w:rsidRPr="00794B97">
        <w:tab/>
        <w:t>Deux séries de propositions figurant dans le rapport recueillent à cet égard la plus totale adhésion de sa part :</w:t>
      </w:r>
    </w:p>
    <w:p w:rsidR="0007241E" w:rsidRPr="00794B97" w:rsidRDefault="0007241E" w:rsidP="0007241E">
      <w:pPr>
        <w:jc w:val="both"/>
      </w:pPr>
      <w:r w:rsidRPr="00794B97">
        <w:t>-Les premières sont celles ayant trait au forfait social (proposition n° 6).</w:t>
      </w:r>
    </w:p>
    <w:p w:rsidR="0007241E" w:rsidRPr="00794B97" w:rsidRDefault="0007241E" w:rsidP="0007241E">
      <w:pPr>
        <w:jc w:val="both"/>
      </w:pPr>
      <w:r w:rsidRPr="00794B97">
        <w:tab/>
        <w:t xml:space="preserve">Dans l’état actuel des choses, le taux de forfait social réduit (8 % au lieu de 20 % normalement) ne s’applique qu’aux « moins de 50 » mettant pour la première fois en place l’intéressement ou la participation, et pendant une durée de six ans seulement. </w:t>
      </w:r>
    </w:p>
    <w:p w:rsidR="0007241E" w:rsidRPr="00794B97" w:rsidRDefault="0007241E" w:rsidP="0007241E">
      <w:pPr>
        <w:jc w:val="both"/>
      </w:pPr>
      <w:r w:rsidRPr="00794B97">
        <w:tab/>
        <w:t xml:space="preserve">Le rapport propose, d’une part, d’étendre le taux de forfait social réduit aux abondements aux PEE et PERCO effectués par ces mêmes « moins de 50 » et, d’autre part, de l’appliquer dorénavant à ces entreprises sans limitation de durée. </w:t>
      </w:r>
    </w:p>
    <w:p w:rsidR="0007241E" w:rsidRPr="00794B97" w:rsidRDefault="0007241E" w:rsidP="0007241E">
      <w:pPr>
        <w:jc w:val="both"/>
      </w:pPr>
      <w:r w:rsidRPr="00794B97">
        <w:tab/>
        <w:t xml:space="preserve">Ces mesures répondent à une demande ancienne de l’U2P. Le plan d’épargne d’entreprise étant, comme le constate le rapport, l’outil le plus répandu chez les « moins de 50 », les restrictions actuelles aboutissent de fait à priver celles-ci du bénéfice du régime de faveur. </w:t>
      </w:r>
    </w:p>
    <w:p w:rsidR="0007241E" w:rsidRPr="00794B97" w:rsidRDefault="0007241E" w:rsidP="0007241E">
      <w:pPr>
        <w:jc w:val="both"/>
      </w:pPr>
      <w:r w:rsidRPr="00794B97">
        <w:tab/>
        <w:t xml:space="preserve">-Les secondes sont celles visant à permettre aux « moins de 50 » de disposer d’accords-type d’intéressement ou de participation directement applicables (propositions nos 7 et 8). </w:t>
      </w:r>
    </w:p>
    <w:p w:rsidR="0007241E" w:rsidRPr="00794B97" w:rsidRDefault="0007241E" w:rsidP="0007241E">
      <w:pPr>
        <w:jc w:val="both"/>
      </w:pPr>
      <w:r w:rsidRPr="00794B97">
        <w:t>Elle récuse en revanche toute mesure coercitive à l’égard des « moins de 50 »</w:t>
      </w:r>
    </w:p>
    <w:p w:rsidR="0007241E" w:rsidRPr="00794B97" w:rsidRDefault="0007241E" w:rsidP="0007241E">
      <w:pPr>
        <w:jc w:val="both"/>
      </w:pPr>
      <w:r w:rsidRPr="00794B97">
        <w:tab/>
        <w:t xml:space="preserve">L’U2P considère que, si le législateur serait parfaitement fondé à chercher à promouvoir l’épargne salariale chez les « moins de 50 », il ne saurait en revanche les soumettre à des obligations particulières. </w:t>
      </w:r>
    </w:p>
    <w:p w:rsidR="0007241E" w:rsidRPr="00794B97" w:rsidRDefault="0007241E" w:rsidP="0007241E">
      <w:pPr>
        <w:jc w:val="both"/>
      </w:pPr>
      <w:r w:rsidRPr="00794B97">
        <w:lastRenderedPageBreak/>
        <w:tab/>
        <w:t xml:space="preserve">Contraindre les « plus de dix », voire l’ensemble des « moins de 50 », à se doter d’un dispositif d’épargne salariale reviendrait en pratique à les obliger à adhérer à un PEE ou un PERCO et à supporter les frais annuels correspondants. Mais les versements sur un tel plan (ceux des employeurs comme ceux des salariés) restant purement facultatifs, il ne résulterait de cette adhésion forcée aucun avantage tangible pour le personnel de l’entreprise. </w:t>
      </w:r>
    </w:p>
    <w:p w:rsidR="0007241E" w:rsidRPr="00794B97" w:rsidRDefault="0007241E" w:rsidP="0007241E">
      <w:pPr>
        <w:jc w:val="both"/>
      </w:pPr>
      <w:r w:rsidRPr="00794B97">
        <w:tab/>
        <w:t xml:space="preserve">La mise en place de l’épargne salariale dans les TPE apparaît comme souhaitable, mais ne saurait leur être imposée indépendamment d’une volonté commune se manifestant dans l’entreprise. </w:t>
      </w:r>
    </w:p>
    <w:p w:rsidR="0007241E" w:rsidRPr="00794B97" w:rsidRDefault="0007241E" w:rsidP="0007241E">
      <w:pPr>
        <w:jc w:val="both"/>
      </w:pPr>
      <w:r w:rsidRPr="00794B97">
        <w:t>L’U2P souligne l’inadaptation des formules de calcul de la participation –  celle proposée par le rapport comme celle actuellement applicable – au cas des entreprises relevant du régime de l’IR</w:t>
      </w:r>
    </w:p>
    <w:p w:rsidR="0007241E" w:rsidRPr="00794B97" w:rsidRDefault="0007241E" w:rsidP="0007241E">
      <w:pPr>
        <w:jc w:val="both"/>
      </w:pPr>
      <w:r w:rsidRPr="00794B97">
        <w:tab/>
        <w:t xml:space="preserve">La proportion des entreprises soumises à l’IR atteint 50 % dans le secteur de l’artisanat et du commerce de proximité et 70 % dans celui des activités libérales. Dans ces entreprises où bénéfice d’exploitation et rémunération de l’exploitant sont confondus, seule l’adoption d’une formule de participation propre à chacune est concevable. </w:t>
      </w:r>
    </w:p>
    <w:p w:rsidR="0007241E" w:rsidRPr="00794B97" w:rsidRDefault="0007241E" w:rsidP="0007241E">
      <w:pPr>
        <w:jc w:val="both"/>
      </w:pPr>
      <w:r w:rsidRPr="00794B97">
        <w:t>Elle tient, enfin, à exprimer son attachement à un maintien des modalités actuelles de sortie du PERCO</w:t>
      </w:r>
    </w:p>
    <w:p w:rsidR="00FC1271" w:rsidRDefault="0007241E" w:rsidP="0007241E">
      <w:pPr>
        <w:jc w:val="both"/>
        <w:rPr>
          <w:b/>
        </w:rPr>
      </w:pPr>
      <w:r w:rsidRPr="00794B97">
        <w:tab/>
        <w:t>Alors que un fort mouvement se dessine en faveur d’une possibilité de sortie partielle en capital pour les contrats-retraite loi Madelin et article 83, il serait pour le moins paradoxal de voir remise en cause la possibilité de sortie en capital bénéficiant actuellement aux titulaires de PERCO.</w:t>
      </w:r>
    </w:p>
    <w:p w:rsidR="00FC1271" w:rsidRDefault="00FC1271" w:rsidP="00FC1271">
      <w:pPr>
        <w:jc w:val="both"/>
        <w:rPr>
          <w:b/>
        </w:rPr>
      </w:pPr>
    </w:p>
    <w:p w:rsidR="004A545C" w:rsidRDefault="004A545C" w:rsidP="00794B97">
      <w:pPr>
        <w:pStyle w:val="COPIESAS2"/>
      </w:pPr>
      <w:bookmarkStart w:id="170" w:name="_Toc509513848"/>
      <w:r>
        <w:t>Contribution de l’UDES</w:t>
      </w:r>
      <w:bookmarkEnd w:id="170"/>
    </w:p>
    <w:p w:rsidR="004A545C" w:rsidRPr="00794B97" w:rsidRDefault="004A545C" w:rsidP="004A545C">
      <w:pPr>
        <w:jc w:val="both"/>
      </w:pPr>
      <w:r w:rsidRPr="00794B97">
        <w:t>L’UDES se félicite de l’objectif recherché par le Gouvernement de favoriser davantage l’association des salariés à la réussite de l’entreprise et contribuer ainsi à la conciliation des apports du capital et du travail.</w:t>
      </w:r>
    </w:p>
    <w:p w:rsidR="004A545C" w:rsidRPr="00794B97" w:rsidRDefault="004A545C" w:rsidP="004A545C">
      <w:pPr>
        <w:jc w:val="both"/>
      </w:pPr>
      <w:r w:rsidRPr="00794B97">
        <w:t>Au sein de l’économie sociale et solidaire, ces valeurs s’expriment notamment au sein des sociétés coopératives (Scop) avec plus de 40 % des résultats versés aux salariés sous forme de participation.</w:t>
      </w:r>
    </w:p>
    <w:p w:rsidR="004A545C" w:rsidRPr="00794B97" w:rsidRDefault="004A545C" w:rsidP="004A545C">
      <w:pPr>
        <w:jc w:val="both"/>
      </w:pPr>
      <w:r w:rsidRPr="00794B97">
        <w:t>Le Copiesas propose ainsi de généraliser l’épargne salariale à l’ensemble des entreprises, y compris dans les TPE/PME de moins de 50 salariés, avec une nouvelle formule de calcul de la Réserve Spéciale de Participation (RSP) plus simple et plus lisible « 10% du bénéfice net comptable ».</w:t>
      </w:r>
    </w:p>
    <w:p w:rsidR="004A545C" w:rsidRPr="00794B97" w:rsidRDefault="004A545C" w:rsidP="004A545C">
      <w:pPr>
        <w:jc w:val="both"/>
      </w:pPr>
      <w:r w:rsidRPr="00794B97">
        <w:t>L’UDES espère que cette proposition sera réellement mise en oeuvre dans le plus grand nombre d’entreprises, en étant préférée aux autres options ouvertes ‒ comme le simple plan d’épargne ‒ qui n’auraient pas l’effet escompté de partage de la valeur créée.</w:t>
      </w:r>
    </w:p>
    <w:p w:rsidR="004A545C" w:rsidRPr="00794B97" w:rsidRDefault="004A545C" w:rsidP="004A545C">
      <w:pPr>
        <w:jc w:val="both"/>
      </w:pPr>
      <w:r w:rsidRPr="00794B97">
        <w:t>Concernant le chapitre relatif à l’actionnariat salarié, l’UDES relève avec satisfaction le consensus dégagé autour de l’encouragement à la transmission d’entreprises aux salariés dans le cadre d’opérations collectives.</w:t>
      </w:r>
    </w:p>
    <w:p w:rsidR="004A545C" w:rsidRPr="00794B97" w:rsidRDefault="004A545C" w:rsidP="004A545C">
      <w:pPr>
        <w:jc w:val="both"/>
      </w:pPr>
      <w:r w:rsidRPr="00794B97">
        <w:t>L’expérience de transmission de PME saines aux salariés sous forme de Scop ne peut que confirmer cet enjeu collectif pour la pérennité des activités et des emplois sur nos territoires.</w:t>
      </w:r>
    </w:p>
    <w:p w:rsidR="004A545C" w:rsidRPr="00794B97" w:rsidRDefault="004A545C" w:rsidP="004A545C">
      <w:pPr>
        <w:jc w:val="both"/>
      </w:pPr>
      <w:r w:rsidRPr="00794B97">
        <w:lastRenderedPageBreak/>
        <w:t>L’incitation proposée en matière d’exonération partielle ou totale de plus-values sur les gains de cession des titres aux salariés serait sans nul doute de nature à encourager ce type de transmission. Il conviendra cependant de mettre sur le même plan les transmissions aux salariés sous forme de Scop (les titres n’étant pas vendus directement aux salariés mais via le rachat de ses propres titres par la société qui rembourse les retrayants lors de la transformation de l’entreprise en coopérative).</w:t>
      </w:r>
    </w:p>
    <w:p w:rsidR="004A545C" w:rsidRPr="00794B97" w:rsidRDefault="004A545C" w:rsidP="004A545C">
      <w:pPr>
        <w:jc w:val="both"/>
      </w:pPr>
      <w:r w:rsidRPr="00794B97">
        <w:t>En revanche, l’UDES regrette l’absence de réelles mesures encourageant l’actionnariat salarié dans les PME qui est pourtant un levier de convergence des intérêts entre dirigeants, actionnaires et salariés. La participation des salariés-actionnaires à la gouvernance des entreprises mériterait également d’être traitée en tant que telle, indépendamment des prérogatives des représentants des salariés.</w:t>
      </w:r>
    </w:p>
    <w:p w:rsidR="004A545C" w:rsidRPr="00794B97" w:rsidRDefault="004A545C" w:rsidP="004A545C">
      <w:pPr>
        <w:jc w:val="both"/>
      </w:pPr>
      <w:r w:rsidRPr="00794B97">
        <w:t>Dans cet objectif, l’UDES propose de développer les plans d’épargne salariale investis dans les entreprises :</w:t>
      </w:r>
    </w:p>
    <w:p w:rsidR="004A545C" w:rsidRPr="00794B97" w:rsidRDefault="004A545C" w:rsidP="004A545C">
      <w:pPr>
        <w:jc w:val="both"/>
      </w:pPr>
      <w:r w:rsidRPr="00794B97">
        <w:t>‒ en augmentant de manière très significative les plafonds liés à l’abondement pour les PEE investis intégralement au capital de leur entreprise ;</w:t>
      </w:r>
    </w:p>
    <w:p w:rsidR="004A545C" w:rsidRPr="00794B97" w:rsidRDefault="004A545C" w:rsidP="004A545C">
      <w:pPr>
        <w:jc w:val="both"/>
      </w:pPr>
      <w:r w:rsidRPr="00794B97">
        <w:t>‒ et en abaissant de façon dégressive le forfait social en fonction de la participation des salariés au capital de leur entreprise.</w:t>
      </w:r>
    </w:p>
    <w:p w:rsidR="004A545C" w:rsidRPr="00794B97" w:rsidRDefault="004A545C" w:rsidP="004A545C">
      <w:pPr>
        <w:jc w:val="both"/>
      </w:pPr>
      <w:r w:rsidRPr="00794B97">
        <w:t>L’UDES tient par ailleurs à rappeler son attachement à l’épargne salariale solidaire et à la rendre plus attractive, en vue d’apporter plus de ressources pour les entreprises de l’ESS. Concernant la question de l’épargne salariale solidaire, l’UDES estime ainsi nécessaire de :</w:t>
      </w:r>
    </w:p>
    <w:p w:rsidR="004A545C" w:rsidRPr="00794B97" w:rsidRDefault="004A545C" w:rsidP="004A545C">
      <w:pPr>
        <w:jc w:val="both"/>
      </w:pPr>
      <w:r w:rsidRPr="00794B97">
        <w:t>‒ ne pas fragiliser le dispositif : au regard du succès de l’épargne salariale solidaire pour le financement de l’ESS, la tentation serait forte de dupliquer le mécanisme au profit d’autres secteurs (industrie, transition écologique, …). Or si tel était le cas, cette duplication entrainerait mécaniquement un assèchement des fonds solidaires. En effet, les fonds verts, par exemple, sont très rémunérateurs alors que les fonds solidaires ne le sont que très peu (adapté aux capacités de rémunération des entreprises de l’ESS). Si une société de gestion a le choix entre un fond vert et un fond solidaire, il est fort à parier qu’elle préfèrera le premier. Il parait donc important de préserver le dispositif et de ne pas lui créer de concurrence.</w:t>
      </w:r>
    </w:p>
    <w:p w:rsidR="004A545C" w:rsidRPr="00794B97" w:rsidRDefault="004A545C" w:rsidP="004A545C">
      <w:pPr>
        <w:jc w:val="both"/>
      </w:pPr>
      <w:r w:rsidRPr="00794B97">
        <w:t>‒ Développer l’épargne solidaire dans l’épargne salariale : aujourd’hui, l’épargne solidaire représente 8,2 % de l’épargne salariale. Elle est le fer de lance de la finance solidaire et un laboratoire irremplaçable pour l’innovation produits. Pour continuer à la développer, l’UDES propose que le législateur national :</w:t>
      </w:r>
    </w:p>
    <w:p w:rsidR="004A545C" w:rsidRPr="00794B97" w:rsidRDefault="004A545C" w:rsidP="00794B97">
      <w:pPr>
        <w:pStyle w:val="Paragraphedeliste"/>
        <w:numPr>
          <w:ilvl w:val="0"/>
          <w:numId w:val="22"/>
        </w:numPr>
        <w:jc w:val="both"/>
      </w:pPr>
      <w:r w:rsidRPr="00794B97">
        <w:t>encourage les dépôts sur les Fonds Communs de Placement d’Entreprise (FCPE) solidaires, soit par un mécanisme d’affectation par défaut de l’épargne sur un FCPE solidaire, soit par l’alignement de leur régime fiscal sur celui qui est applicable au Plan d’Epargne pour la Retraite Collective - PERCO + (forfait social de 16% pour l’investissement orienté vers les PME) ;</w:t>
      </w:r>
    </w:p>
    <w:p w:rsidR="004A545C" w:rsidRPr="00794B97" w:rsidRDefault="004A545C" w:rsidP="00794B97">
      <w:pPr>
        <w:pStyle w:val="Paragraphedeliste"/>
        <w:numPr>
          <w:ilvl w:val="0"/>
          <w:numId w:val="22"/>
        </w:numPr>
        <w:jc w:val="both"/>
      </w:pPr>
      <w:r w:rsidRPr="00794B97">
        <w:t>facilite la gestion des actifs solidaires en permettant qu’un Fonds d’Investissement à Vocation Généraliste (FIVG) solidaire puisse détenir jusqu’à 100% d’un Fonds Commun de Placement à risque ou d’un FPS solidaire ;</w:t>
      </w:r>
    </w:p>
    <w:p w:rsidR="004A545C" w:rsidRPr="00794B97" w:rsidRDefault="004A545C" w:rsidP="00794B97">
      <w:pPr>
        <w:pStyle w:val="Paragraphedeliste"/>
        <w:numPr>
          <w:ilvl w:val="0"/>
          <w:numId w:val="22"/>
        </w:numPr>
        <w:jc w:val="both"/>
      </w:pPr>
      <w:r w:rsidRPr="00794B97">
        <w:lastRenderedPageBreak/>
        <w:t>intègre le solidaire dans la gestion pilotée des PERCO : soit par l’obligation d’avoir au moins un fonds solidaire dans toutes les gestions pilotées, soit de proposer une « gestion solidaire » parmi les différents modes de gestion (prudent, etc.) ;</w:t>
      </w:r>
    </w:p>
    <w:p w:rsidR="004A545C" w:rsidRPr="00794B97" w:rsidRDefault="004A545C" w:rsidP="00794B97">
      <w:pPr>
        <w:pStyle w:val="Paragraphedeliste"/>
        <w:numPr>
          <w:ilvl w:val="0"/>
          <w:numId w:val="22"/>
        </w:numPr>
        <w:jc w:val="both"/>
      </w:pPr>
      <w:r w:rsidRPr="00794B97">
        <w:t>pour augmenter la proportion d’actifs solidaires dans les Fonds Communs de Placement 90-10 (actuellement de 6%), modifie la période de référence retenue pour le calcul de cette proportion ou, à défaut, crée un mécanisme de liquidité de place sous l’égide de la Caisse des Dépôts.</w:t>
      </w:r>
    </w:p>
    <w:p w:rsidR="00FC1271" w:rsidRPr="00FC1271" w:rsidRDefault="00FC1271" w:rsidP="00794B97">
      <w:pPr>
        <w:pStyle w:val="COPIESAS2"/>
      </w:pPr>
      <w:bookmarkStart w:id="171" w:name="_Toc509513849"/>
      <w:r w:rsidRPr="00FC1271">
        <w:t>Au titre des parlementaires</w:t>
      </w:r>
      <w:bookmarkEnd w:id="171"/>
    </w:p>
    <w:p w:rsidR="00FC1271" w:rsidRDefault="00FC1271" w:rsidP="00FC1271">
      <w:pPr>
        <w:jc w:val="both"/>
      </w:pPr>
    </w:p>
    <w:p w:rsidR="00FC1271" w:rsidRDefault="00FC1271" w:rsidP="00FC1271">
      <w:pPr>
        <w:jc w:val="both"/>
      </w:pPr>
    </w:p>
    <w:p w:rsidR="00FC1271" w:rsidRDefault="00FC1271" w:rsidP="00FC1271">
      <w:pPr>
        <w:jc w:val="both"/>
      </w:pPr>
    </w:p>
    <w:p w:rsidR="00FC1271" w:rsidRDefault="00FC1271" w:rsidP="00FC1271">
      <w:pPr>
        <w:jc w:val="both"/>
      </w:pPr>
    </w:p>
    <w:p w:rsidR="004A545C" w:rsidRDefault="004A545C" w:rsidP="00FC1271">
      <w:pPr>
        <w:rPr>
          <w:b/>
          <w:sz w:val="24"/>
          <w:szCs w:val="24"/>
        </w:rPr>
      </w:pPr>
    </w:p>
    <w:p w:rsidR="004A545C" w:rsidRDefault="004A545C" w:rsidP="00FC1271">
      <w:pPr>
        <w:rPr>
          <w:b/>
          <w:sz w:val="24"/>
          <w:szCs w:val="24"/>
        </w:rPr>
      </w:pPr>
    </w:p>
    <w:p w:rsidR="004A545C" w:rsidRDefault="004A545C" w:rsidP="00FC1271">
      <w:pPr>
        <w:rPr>
          <w:b/>
          <w:sz w:val="24"/>
          <w:szCs w:val="24"/>
        </w:rPr>
      </w:pPr>
    </w:p>
    <w:p w:rsidR="004A545C" w:rsidRDefault="004A545C" w:rsidP="00FC1271">
      <w:pPr>
        <w:rPr>
          <w:b/>
          <w:sz w:val="24"/>
          <w:szCs w:val="24"/>
        </w:rPr>
      </w:pPr>
    </w:p>
    <w:p w:rsidR="00EF7E25" w:rsidRDefault="00EF7E25" w:rsidP="00FC1271">
      <w:pPr>
        <w:rPr>
          <w:b/>
          <w:sz w:val="24"/>
          <w:szCs w:val="24"/>
        </w:rPr>
      </w:pPr>
    </w:p>
    <w:p w:rsidR="00EF7E25" w:rsidRDefault="00EF7E25" w:rsidP="00FC1271">
      <w:pPr>
        <w:rPr>
          <w:b/>
          <w:sz w:val="24"/>
          <w:szCs w:val="24"/>
        </w:rPr>
      </w:pPr>
    </w:p>
    <w:p w:rsidR="00EF7E25" w:rsidRDefault="00EF7E25" w:rsidP="00FC1271">
      <w:pPr>
        <w:rPr>
          <w:b/>
          <w:sz w:val="24"/>
          <w:szCs w:val="24"/>
        </w:rPr>
      </w:pPr>
    </w:p>
    <w:p w:rsidR="00EF7E25" w:rsidRDefault="00EF7E25" w:rsidP="00FC1271">
      <w:pPr>
        <w:rPr>
          <w:b/>
          <w:sz w:val="24"/>
          <w:szCs w:val="24"/>
        </w:rPr>
      </w:pPr>
    </w:p>
    <w:p w:rsidR="00EF7E25" w:rsidRDefault="00EF7E25" w:rsidP="00FC1271">
      <w:pPr>
        <w:rPr>
          <w:b/>
          <w:sz w:val="24"/>
          <w:szCs w:val="24"/>
        </w:rPr>
      </w:pPr>
    </w:p>
    <w:p w:rsidR="00EF7E25" w:rsidRDefault="00EF7E25" w:rsidP="00FC1271">
      <w:pPr>
        <w:rPr>
          <w:b/>
          <w:sz w:val="24"/>
          <w:szCs w:val="24"/>
        </w:rPr>
      </w:pPr>
    </w:p>
    <w:p w:rsidR="00EF7E25" w:rsidRDefault="00EF7E25" w:rsidP="00FC1271">
      <w:pPr>
        <w:rPr>
          <w:b/>
          <w:sz w:val="24"/>
          <w:szCs w:val="24"/>
        </w:rPr>
      </w:pPr>
    </w:p>
    <w:p w:rsidR="00EF7E25" w:rsidRDefault="00EF7E25" w:rsidP="00FC1271">
      <w:pPr>
        <w:rPr>
          <w:b/>
          <w:sz w:val="24"/>
          <w:szCs w:val="24"/>
        </w:rPr>
      </w:pPr>
    </w:p>
    <w:p w:rsidR="00EF7E25" w:rsidRDefault="00EF7E25" w:rsidP="00FC1271">
      <w:pPr>
        <w:rPr>
          <w:b/>
          <w:sz w:val="24"/>
          <w:szCs w:val="24"/>
        </w:rPr>
      </w:pPr>
    </w:p>
    <w:p w:rsidR="00FC1271" w:rsidRPr="00FC1271" w:rsidRDefault="00FC1271" w:rsidP="00794B97">
      <w:pPr>
        <w:pStyle w:val="COPIESAS2"/>
      </w:pPr>
      <w:bookmarkStart w:id="172" w:name="_Toc509513850"/>
      <w:r w:rsidRPr="00FC1271">
        <w:t>Au titre des personnalités qualifiées</w:t>
      </w:r>
      <w:bookmarkEnd w:id="172"/>
    </w:p>
    <w:p w:rsidR="00FC1271" w:rsidRDefault="007B3167" w:rsidP="00794B97">
      <w:pPr>
        <w:pStyle w:val="COPIESAS2"/>
      </w:pPr>
      <w:bookmarkStart w:id="173" w:name="_Toc509513851"/>
      <w:r>
        <w:t>Contribution de M. Jacques Landriot</w:t>
      </w:r>
      <w:bookmarkEnd w:id="173"/>
    </w:p>
    <w:p w:rsidR="007B3167" w:rsidRDefault="004A545C" w:rsidP="00FC1271">
      <w:pPr>
        <w:rPr>
          <w:b/>
        </w:rPr>
      </w:pPr>
      <w:r>
        <w:rPr>
          <w:noProof/>
          <w:lang w:eastAsia="fr-FR"/>
        </w:rPr>
        <w:lastRenderedPageBreak/>
        <w:drawing>
          <wp:inline distT="0" distB="0" distL="0" distR="0" wp14:anchorId="0855A88D" wp14:editId="592FD4FB">
            <wp:extent cx="5760720" cy="2394073"/>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394073"/>
                    </a:xfrm>
                    <a:prstGeom prst="rect">
                      <a:avLst/>
                    </a:prstGeom>
                  </pic:spPr>
                </pic:pic>
              </a:graphicData>
            </a:graphic>
          </wp:inline>
        </w:drawing>
      </w:r>
    </w:p>
    <w:p w:rsidR="00FC1271" w:rsidRDefault="004A545C" w:rsidP="00FC1271">
      <w:pPr>
        <w:rPr>
          <w:b/>
        </w:rPr>
      </w:pPr>
      <w:r>
        <w:rPr>
          <w:noProof/>
          <w:lang w:eastAsia="fr-FR"/>
        </w:rPr>
        <w:drawing>
          <wp:inline distT="0" distB="0" distL="0" distR="0" wp14:anchorId="705D1E35" wp14:editId="3F5CDAE7">
            <wp:extent cx="5760720" cy="299978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999788"/>
                    </a:xfrm>
                    <a:prstGeom prst="rect">
                      <a:avLst/>
                    </a:prstGeom>
                  </pic:spPr>
                </pic:pic>
              </a:graphicData>
            </a:graphic>
          </wp:inline>
        </w:drawing>
      </w:r>
    </w:p>
    <w:p w:rsidR="00FC1271" w:rsidRDefault="004A545C" w:rsidP="00FC1271">
      <w:pPr>
        <w:rPr>
          <w:b/>
        </w:rPr>
      </w:pPr>
      <w:r>
        <w:rPr>
          <w:noProof/>
          <w:lang w:eastAsia="fr-FR"/>
        </w:rPr>
        <w:drawing>
          <wp:inline distT="0" distB="0" distL="0" distR="0" wp14:anchorId="32BCAC1B" wp14:editId="0B234B79">
            <wp:extent cx="5760720" cy="120775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207755"/>
                    </a:xfrm>
                    <a:prstGeom prst="rect">
                      <a:avLst/>
                    </a:prstGeom>
                  </pic:spPr>
                </pic:pic>
              </a:graphicData>
            </a:graphic>
          </wp:inline>
        </w:drawing>
      </w:r>
    </w:p>
    <w:p w:rsidR="00FC1271" w:rsidRDefault="00FC1271" w:rsidP="00FC1271">
      <w:pPr>
        <w:rPr>
          <w:b/>
        </w:rPr>
      </w:pPr>
    </w:p>
    <w:p w:rsidR="00FC1271" w:rsidRDefault="00FC1271" w:rsidP="00FC1271">
      <w:pPr>
        <w:rPr>
          <w:b/>
        </w:rPr>
      </w:pPr>
    </w:p>
    <w:p w:rsidR="00916EA3" w:rsidRDefault="00916EA3">
      <w:r>
        <w:br w:type="page"/>
      </w:r>
    </w:p>
    <w:p w:rsidR="00916EA3" w:rsidRPr="00A93A9D" w:rsidRDefault="00916EA3" w:rsidP="00993C3C">
      <w:pPr>
        <w:pStyle w:val="COPIESAS1"/>
      </w:pPr>
      <w:bookmarkStart w:id="174" w:name="_Toc509513852"/>
      <w:r>
        <w:lastRenderedPageBreak/>
        <w:t>ANNEXES</w:t>
      </w:r>
      <w:bookmarkEnd w:id="174"/>
    </w:p>
    <w:p w:rsidR="00FC1271" w:rsidRDefault="00FC1271" w:rsidP="00FC1271">
      <w:r>
        <w:br w:type="page"/>
      </w:r>
    </w:p>
    <w:p w:rsidR="00DE5825" w:rsidRPr="009014A4" w:rsidRDefault="00DE5825" w:rsidP="009014A4">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sz w:val="28"/>
          <w:szCs w:val="28"/>
        </w:rPr>
      </w:pPr>
      <w:r w:rsidRPr="009014A4">
        <w:rPr>
          <w:b/>
          <w:sz w:val="28"/>
          <w:szCs w:val="28"/>
        </w:rPr>
        <w:lastRenderedPageBreak/>
        <w:t>ANNEXE 1</w:t>
      </w:r>
    </w:p>
    <w:p w:rsidR="00DE5825" w:rsidRPr="009A3C48"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sidRPr="009A3C48">
        <w:rPr>
          <w:b/>
        </w:rPr>
        <w:t>Les dispositifs de participation, d’intéressement et de plans d’épargne salariale</w:t>
      </w:r>
    </w:p>
    <w:p w:rsidR="00DE5825" w:rsidRPr="009A3C48"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sidRPr="009A3C48">
        <w:rPr>
          <w:b/>
        </w:rPr>
        <w:t>Les dispositifs de participation et d’intéressement</w:t>
      </w:r>
    </w:p>
    <w:p w:rsidR="00DE5825"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t>• La participation des salariés aux résultats de l’entreprise est obligatoire dans les entreprises employant au moins 50 salariés et dégageant un bénéfice suffisant. Cette obligation ne s’applique ni aux entreprises à forme mutualiste ni à celles qui, en raison de leur nature ou de leur forme juridique, ne réalisent aucun bénéfice passible de l’impôt sur le revenu ou sur les sociétés. Ceci exclut notamment du champ les entreprises publiques et sociétés nationales, à quelques exceptions près (décret n° 87-948 du 26 novembre 1987 modifié).</w:t>
      </w:r>
    </w:p>
    <w:p w:rsidR="00DE5825"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t>La participation aux résultats de l’entreprise permet de redistribuer une partie des bénéfices annuels réalisés par l’entreprise selon des modalités prévues par un accord collectif. Cet accord doit être conclu avant l’expiration du délai d’un an suivant la clôture de l’exercice au titre duquel sont nés les droits des salariés (article L.3323-5 du code du travail). À défaut, un régime dit d’autorité doit être mis en place par l’entreprise. Les salariés se voient alors reconnaître un droit de créance sur l’entreprise égal au montant de la réserve spéciale de participation, obtenu selon la formule de droit commun.</w:t>
      </w:r>
    </w:p>
    <w:p w:rsidR="00DE5825"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t>Depuis 2008, les montants distribués au titre de la participation peuvent être perçus immédiatement par le salarié, partiellement ou en totalité, ou, comme c’était déjà le cas, placés sur un PEE où ils sont bloqués pendant cinq ans à l’exception des possibilités de déblocage anticipé (mariage ou Pacs, naissance du troisième enfant, divorce, invalidité).</w:t>
      </w:r>
    </w:p>
    <w:p w:rsidR="00DE5825"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t>En contrepartie du blocage des sommes versées, l’entreprise et les salariés bénéficient d’avantages fiscaux et sociaux (sommes déductibles de l’assiette de l’impôt, exonération de cotisations sociales patronales et de taxes sur les salaires pour l’entreprise, sommes non soumises à l’impôt sur le revenu et exonération de cotisations sociales salariales pour le salarié). Les sommes bloquées sont placées essentiellement sur des plans d’épargne salariale (PEE ou Perco), des comptes courants bloqués portant intérêt ou sur des fonds communs de placement d’entreprises (FCPE).</w:t>
      </w:r>
    </w:p>
    <w:p w:rsidR="00DE5825"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t>• L’intéressement permet à toute entreprise qui le souhaite, dès lors qu’elle satisfait à ses obligations en matière de représentation du personnel, d’instituer un intéressement collectif des salariés. Cet intéressement, variable d’une entreprise à l’autre, est fonction des résultats ou performances de l’entreprise. Il ne peut se substituer à d’autres formes de rémunération. Avant, les sommes versées étaient immédiatement disponibles pour les salariés. Depuis le 6 août 2015, elles sont automatiquement affectées sur un plan d’épargne salariale. Ces sommes ne sont alors pas soumises à l’impôt sur le revenu et le salarié peut bénéficier éventuellement d’un abondement de l’entreprise. Comme pour la participation, les sommes allouées au titre de l’intéressement n’entrent pas dans l’assiette des cotisations de sécurité sociale mais sont soumises au forfait social instauré en 2009.</w:t>
      </w:r>
    </w:p>
    <w:p w:rsidR="00DE5825" w:rsidRPr="009A3C48"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sidRPr="009A3C48">
        <w:rPr>
          <w:b/>
        </w:rPr>
        <w:t>Les plans d’épargne salariale</w:t>
      </w:r>
    </w:p>
    <w:p w:rsidR="00DE5825"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t>Le salarié peut placer les sommes versées au titre de la participation et de l’intéressement sur deux types de plans d’épargne salariale.</w:t>
      </w:r>
    </w:p>
    <w:p w:rsidR="00DE5825"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lastRenderedPageBreak/>
        <w:t>• Le plan d’épargne entreprise (PEE) est un système d’épargne collectif ouvrant aux salariés la faculté de se constituer, avec l’aide de l’entreprise, un portefeuille de valeurs mobilières. L’entreprise prend à sa charge la gestion du plan et peut abonder les sommes versées par les salariés. Les sommes versées sur un PEE sont bloquées pendant cinq ans avec toutefois des possibilités de déblocage anticipé (départ de l’entreprise, achat d’un logement, etc.). La loi n° 2001-152 du 19 février 2001 a instauré les plans d’épargne interentreprises (PEI) qui permettent de mutualiser les coûts de gestion en appliquant des plans négociés entre plusieurs entreprises d’un même secteur géographique ou sectoriel.</w:t>
      </w:r>
    </w:p>
    <w:p w:rsidR="00DE5825" w:rsidRDefault="00DE5825"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t>• Le plan d’épargne retraite collectif (Perco) a été mis en place par la loi n° 2003-775 du 21 août 2003 portant réforme des retraites. Il donne aux salariés couverts la possibilité de se constituer, dans un cadre collectif, une épargne accessible au moment de la retraite sous forme de rente viagère ou, si l’accord collectif le prévoit, sous forme de capital [1], [2]. Sous réserve de dispositions particulières, les dispositions relatives au PEE sont applicables au Perco (article L. 3334-1 du code du travail).</w:t>
      </w:r>
    </w:p>
    <w:p w:rsidR="00B54AA0" w:rsidRDefault="00B54AA0" w:rsidP="00B54AA0">
      <w:pPr>
        <w:jc w:val="center"/>
        <w:rPr>
          <w:b/>
        </w:rPr>
      </w:pPr>
    </w:p>
    <w:p w:rsidR="00DE5825" w:rsidRDefault="00DE5825">
      <w:pPr>
        <w:rPr>
          <w:b/>
        </w:rPr>
      </w:pPr>
      <w:r>
        <w:rPr>
          <w:b/>
        </w:rPr>
        <w:br w:type="page"/>
      </w:r>
    </w:p>
    <w:p w:rsidR="00DE5825" w:rsidRPr="009014A4" w:rsidRDefault="00DE5825" w:rsidP="009014A4">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sz w:val="28"/>
          <w:szCs w:val="28"/>
        </w:rPr>
      </w:pPr>
      <w:r w:rsidRPr="009014A4">
        <w:rPr>
          <w:b/>
          <w:sz w:val="28"/>
          <w:szCs w:val="28"/>
        </w:rPr>
        <w:lastRenderedPageBreak/>
        <w:t xml:space="preserve">ANNEXE </w:t>
      </w:r>
      <w:r w:rsidR="00D9118C" w:rsidRPr="009014A4">
        <w:rPr>
          <w:b/>
          <w:sz w:val="28"/>
          <w:szCs w:val="28"/>
        </w:rPr>
        <w:t>2</w:t>
      </w:r>
    </w:p>
    <w:p w:rsidR="00DE5825" w:rsidRDefault="00916EA3" w:rsidP="00DE5825">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Pr>
          <w:b/>
        </w:rPr>
        <w:t xml:space="preserve">Données </w:t>
      </w:r>
      <w:r w:rsidR="00DE5825">
        <w:rPr>
          <w:b/>
        </w:rPr>
        <w:t xml:space="preserve">statistiques </w:t>
      </w:r>
      <w:r>
        <w:rPr>
          <w:b/>
        </w:rPr>
        <w:t>relatives à</w:t>
      </w:r>
      <w:r w:rsidR="00DE5825">
        <w:rPr>
          <w:b/>
        </w:rPr>
        <w:t xml:space="preserve"> la formule légale</w:t>
      </w:r>
      <w:r w:rsidR="00DE5825" w:rsidRPr="00DE5825">
        <w:rPr>
          <w:b/>
        </w:rPr>
        <w:t xml:space="preserve"> </w:t>
      </w:r>
      <w:r w:rsidR="00DE5825">
        <w:rPr>
          <w:b/>
        </w:rPr>
        <w:t>calcul de la</w:t>
      </w:r>
      <w:r w:rsidR="00DE5825" w:rsidRPr="00DE5825">
        <w:rPr>
          <w:b/>
        </w:rPr>
        <w:t xml:space="preserve"> participation</w:t>
      </w:r>
    </w:p>
    <w:p w:rsidR="00ED6E24" w:rsidRDefault="00ED6E24" w:rsidP="00916EA3">
      <w:pPr>
        <w:autoSpaceDE w:val="0"/>
        <w:autoSpaceDN w:val="0"/>
        <w:adjustRightInd w:val="0"/>
        <w:jc w:val="center"/>
        <w:rPr>
          <w:rFonts w:ascii="Arial" w:hAnsi="Arial" w:cs="Arial"/>
          <w:b/>
          <w:bCs/>
          <w:sz w:val="26"/>
          <w:szCs w:val="26"/>
        </w:rPr>
      </w:pPr>
    </w:p>
    <w:p w:rsidR="00916EA3" w:rsidRPr="00753AC2" w:rsidRDefault="00916EA3" w:rsidP="00916EA3">
      <w:pPr>
        <w:autoSpaceDE w:val="0"/>
        <w:autoSpaceDN w:val="0"/>
        <w:adjustRightInd w:val="0"/>
        <w:jc w:val="center"/>
        <w:rPr>
          <w:rFonts w:ascii="Arial" w:hAnsi="Arial" w:cs="Arial"/>
          <w:b/>
          <w:bCs/>
          <w:sz w:val="26"/>
          <w:szCs w:val="26"/>
        </w:rPr>
      </w:pPr>
      <w:r w:rsidRPr="00753AC2">
        <w:rPr>
          <w:rFonts w:ascii="Arial" w:hAnsi="Arial" w:cs="Arial"/>
          <w:b/>
          <w:bCs/>
          <w:sz w:val="26"/>
          <w:szCs w:val="26"/>
        </w:rPr>
        <w:t>Fiche 1 : Recours à la formule de référence ou à une formule dérogatoire</w:t>
      </w:r>
    </w:p>
    <w:p w:rsidR="00916EA3" w:rsidRPr="00753AC2" w:rsidRDefault="00916EA3" w:rsidP="00916EA3">
      <w:pPr>
        <w:autoSpaceDE w:val="0"/>
        <w:autoSpaceDN w:val="0"/>
        <w:adjustRightInd w:val="0"/>
        <w:jc w:val="both"/>
        <w:rPr>
          <w:rFonts w:ascii="Arial" w:hAnsi="Arial" w:cs="Arial"/>
          <w:sz w:val="20"/>
          <w:szCs w:val="20"/>
        </w:rPr>
      </w:pPr>
      <w:r w:rsidRPr="00753AC2">
        <w:rPr>
          <w:rFonts w:ascii="Arial" w:hAnsi="Arial" w:cs="Arial"/>
          <w:sz w:val="20"/>
          <w:szCs w:val="20"/>
        </w:rPr>
        <w:t xml:space="preserve">Le montant de la participation versée aux salariés par les entreprises peut être calculé selon la formule de référence suivante : </w:t>
      </w:r>
    </w:p>
    <w:p w:rsidR="00916EA3" w:rsidRPr="00753AC2" w:rsidRDefault="00916EA3" w:rsidP="00916EA3">
      <w:pPr>
        <w:autoSpaceDE w:val="0"/>
        <w:autoSpaceDN w:val="0"/>
        <w:adjustRightInd w:val="0"/>
        <w:jc w:val="center"/>
        <w:rPr>
          <w:rFonts w:ascii="Arial" w:hAnsi="Arial" w:cs="Arial"/>
          <w:b/>
          <w:sz w:val="20"/>
          <w:szCs w:val="20"/>
        </w:rPr>
      </w:pPr>
      <w:r w:rsidRPr="00753AC2">
        <w:rPr>
          <w:rFonts w:ascii="Arial" w:hAnsi="Arial" w:cs="Arial"/>
          <w:b/>
          <w:sz w:val="20"/>
          <w:szCs w:val="20"/>
        </w:rPr>
        <w:t>RSP= 0,5 x (Bénéfice fiscal - 5% Capitaux propres à rémunérer) x (Salaires / Valeur Ajoutée).</w:t>
      </w:r>
    </w:p>
    <w:p w:rsidR="00916EA3" w:rsidRPr="00753AC2" w:rsidRDefault="00916EA3" w:rsidP="00916EA3">
      <w:pPr>
        <w:autoSpaceDE w:val="0"/>
        <w:autoSpaceDN w:val="0"/>
        <w:adjustRightInd w:val="0"/>
        <w:jc w:val="both"/>
        <w:rPr>
          <w:rFonts w:ascii="Arial" w:hAnsi="Arial" w:cs="Arial"/>
          <w:sz w:val="20"/>
          <w:szCs w:val="20"/>
        </w:rPr>
      </w:pPr>
      <w:r w:rsidRPr="00753AC2">
        <w:rPr>
          <w:rFonts w:ascii="Arial" w:hAnsi="Arial" w:cs="Arial"/>
          <w:sz w:val="20"/>
          <w:szCs w:val="20"/>
        </w:rPr>
        <w:t>Sous réserve d’être au moins aussi favorable et de respecter les conditions fixées par l’article L. 3324-2 du code du travail, une autre formule de calcul peut être définie par l’accord de participation.</w:t>
      </w:r>
    </w:p>
    <w:p w:rsidR="00916EA3" w:rsidRPr="00753AC2" w:rsidRDefault="00916EA3" w:rsidP="00916EA3">
      <w:pPr>
        <w:autoSpaceDE w:val="0"/>
        <w:autoSpaceDN w:val="0"/>
        <w:adjustRightInd w:val="0"/>
        <w:jc w:val="both"/>
        <w:rPr>
          <w:rFonts w:ascii="Arial" w:hAnsi="Arial" w:cs="Arial"/>
          <w:sz w:val="20"/>
          <w:szCs w:val="20"/>
        </w:rPr>
      </w:pPr>
      <w:r w:rsidRPr="00753AC2">
        <w:rPr>
          <w:rFonts w:ascii="Arial" w:hAnsi="Arial" w:cs="Arial"/>
          <w:sz w:val="20"/>
          <w:szCs w:val="20"/>
        </w:rPr>
        <w:t>Les entreprises de 10 à 49 salariés, pour lesquelles la participation est un dispositif facultatif, recourent plus fréquemment que les plus grandes entreprises à une autre formule de calcul que celle de référence : 13,2 % en 2016 contre 8,0 % pour les entreprises de 50 salariés ou plus (tableau 1).</w:t>
      </w:r>
    </w:p>
    <w:p w:rsidR="00916EA3" w:rsidRPr="00753AC2" w:rsidRDefault="00916EA3" w:rsidP="00916EA3">
      <w:pPr>
        <w:autoSpaceDE w:val="0"/>
        <w:autoSpaceDN w:val="0"/>
        <w:adjustRightInd w:val="0"/>
        <w:jc w:val="both"/>
        <w:rPr>
          <w:rFonts w:ascii="Arial" w:hAnsi="Arial" w:cs="Arial"/>
          <w:sz w:val="20"/>
          <w:szCs w:val="20"/>
        </w:rPr>
      </w:pPr>
      <w:r w:rsidRPr="00753AC2">
        <w:rPr>
          <w:rFonts w:ascii="Arial" w:hAnsi="Arial" w:cs="Arial"/>
          <w:sz w:val="20"/>
          <w:szCs w:val="20"/>
        </w:rPr>
        <w:t>Parmi les entreprises de 50 salariés ou plus, le taux de recours à une formule dérogatoire augmente avec la taille de l’entreprise : de 5,5 % en 2016 pour les entreprises de 50 à 99 salariés à 25,4 % pour les entreprises d’au moins 1 000 salariés, sachant que le montant de participation versée par les entreprises d’au moins 1 000 salariés représente 19 % du montant total de participation versée en 2016 (1,2 Md€ parmi 6,4Md€).</w:t>
      </w:r>
    </w:p>
    <w:p w:rsidR="00916EA3" w:rsidRPr="00753AC2" w:rsidRDefault="00916EA3" w:rsidP="00916EA3">
      <w:pPr>
        <w:autoSpaceDE w:val="0"/>
        <w:autoSpaceDN w:val="0"/>
        <w:adjustRightInd w:val="0"/>
        <w:jc w:val="both"/>
        <w:rPr>
          <w:rFonts w:ascii="Arial" w:hAnsi="Arial" w:cs="Arial"/>
          <w:bCs/>
          <w:sz w:val="20"/>
          <w:szCs w:val="20"/>
        </w:rPr>
      </w:pPr>
      <w:r w:rsidRPr="00753AC2">
        <w:rPr>
          <w:rFonts w:ascii="Arial" w:hAnsi="Arial" w:cs="Arial"/>
          <w:bCs/>
          <w:sz w:val="20"/>
          <w:szCs w:val="20"/>
        </w:rPr>
        <w:t>Les entreprises de 50 salariés ou plus ayant opté pour une formule dérogatoire ont versé en 2016, en moyenne, une prime de 300 euros plus élevée que celles ayant retenu la formule de référence (1 500 euros contre 1 200 euros, tableau 2).</w:t>
      </w:r>
    </w:p>
    <w:p w:rsidR="00916EA3" w:rsidRPr="00753AC2" w:rsidRDefault="00916EA3" w:rsidP="00916EA3">
      <w:pPr>
        <w:autoSpaceDE w:val="0"/>
        <w:autoSpaceDN w:val="0"/>
        <w:adjustRightInd w:val="0"/>
        <w:jc w:val="center"/>
        <w:rPr>
          <w:rFonts w:ascii="Arial" w:hAnsi="Arial" w:cs="Arial"/>
          <w:b/>
          <w:bCs/>
          <w:sz w:val="20"/>
          <w:szCs w:val="20"/>
        </w:rPr>
      </w:pPr>
      <w:r w:rsidRPr="00753AC2">
        <w:rPr>
          <w:rFonts w:ascii="Arial" w:hAnsi="Arial" w:cs="Arial"/>
          <w:b/>
          <w:bCs/>
          <w:sz w:val="20"/>
          <w:szCs w:val="20"/>
        </w:rPr>
        <w:t>Tableau 1 : Taux de recours à une formule dérogatoire</w:t>
      </w:r>
    </w:p>
    <w:p w:rsidR="00916EA3" w:rsidRPr="00753AC2" w:rsidRDefault="00916EA3" w:rsidP="00916EA3">
      <w:pPr>
        <w:autoSpaceDE w:val="0"/>
        <w:autoSpaceDN w:val="0"/>
        <w:adjustRightInd w:val="0"/>
        <w:jc w:val="center"/>
        <w:rPr>
          <w:rFonts w:ascii="Arial" w:hAnsi="Arial" w:cs="Arial"/>
          <w:b/>
          <w:bCs/>
          <w:sz w:val="20"/>
          <w:szCs w:val="20"/>
        </w:rPr>
      </w:pPr>
      <w:r w:rsidRPr="00753AC2">
        <w:rPr>
          <w:rFonts w:ascii="Arial" w:hAnsi="Arial" w:cs="Arial"/>
          <w:b/>
          <w:bCs/>
          <w:sz w:val="20"/>
          <w:szCs w:val="20"/>
        </w:rPr>
        <w:t xml:space="preserve">                                                                                 </w:t>
      </w:r>
      <w:r w:rsidRPr="00753AC2">
        <w:rPr>
          <w:rFonts w:ascii="Arial" w:hAnsi="Arial" w:cs="Arial"/>
          <w:bCs/>
          <w:sz w:val="20"/>
          <w:szCs w:val="20"/>
        </w:rPr>
        <w:t>(en %)</w:t>
      </w:r>
    </w:p>
    <w:tbl>
      <w:tblPr>
        <w:tblW w:w="7156" w:type="dxa"/>
        <w:jc w:val="center"/>
        <w:tblInd w:w="-1453" w:type="dxa"/>
        <w:tblCellMar>
          <w:left w:w="70" w:type="dxa"/>
          <w:right w:w="70" w:type="dxa"/>
        </w:tblCellMar>
        <w:tblLook w:val="0000" w:firstRow="0" w:lastRow="0" w:firstColumn="0" w:lastColumn="0" w:noHBand="0" w:noVBand="0"/>
      </w:tblPr>
      <w:tblGrid>
        <w:gridCol w:w="3516"/>
        <w:gridCol w:w="1240"/>
        <w:gridCol w:w="1200"/>
        <w:gridCol w:w="1200"/>
      </w:tblGrid>
      <w:tr w:rsidR="00916EA3" w:rsidRPr="00753AC2" w:rsidTr="00916EA3">
        <w:trPr>
          <w:trHeight w:val="510"/>
          <w:jc w:val="center"/>
        </w:trPr>
        <w:tc>
          <w:tcPr>
            <w:tcW w:w="3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EA3" w:rsidRPr="00753AC2" w:rsidRDefault="00916EA3" w:rsidP="00916EA3">
            <w:pPr>
              <w:jc w:val="center"/>
              <w:rPr>
                <w:rFonts w:ascii="Arial" w:hAnsi="Arial" w:cs="Arial"/>
                <w:sz w:val="20"/>
                <w:szCs w:val="20"/>
              </w:rPr>
            </w:pPr>
            <w:r w:rsidRPr="00753AC2">
              <w:rPr>
                <w:rFonts w:ascii="Arial" w:hAnsi="Arial" w:cs="Arial"/>
                <w:sz w:val="20"/>
                <w:szCs w:val="20"/>
              </w:rPr>
              <w:t>Taille de l’entreprise</w:t>
            </w:r>
          </w:p>
        </w:tc>
        <w:tc>
          <w:tcPr>
            <w:tcW w:w="1240" w:type="dxa"/>
            <w:tcBorders>
              <w:top w:val="single" w:sz="4" w:space="0" w:color="auto"/>
              <w:left w:val="nil"/>
              <w:bottom w:val="single" w:sz="4" w:space="0" w:color="auto"/>
              <w:right w:val="nil"/>
            </w:tcBorders>
            <w:shd w:val="clear" w:color="auto" w:fill="auto"/>
            <w:vAlign w:val="center"/>
          </w:tcPr>
          <w:p w:rsidR="00916EA3" w:rsidRPr="00753AC2" w:rsidRDefault="00916EA3" w:rsidP="00916EA3">
            <w:pPr>
              <w:jc w:val="center"/>
              <w:rPr>
                <w:rFonts w:ascii="Arial" w:hAnsi="Arial" w:cs="Arial"/>
                <w:sz w:val="20"/>
                <w:szCs w:val="20"/>
              </w:rPr>
            </w:pPr>
            <w:r w:rsidRPr="00753AC2">
              <w:rPr>
                <w:rFonts w:ascii="Arial" w:hAnsi="Arial" w:cs="Arial"/>
                <w:sz w:val="20"/>
                <w:szCs w:val="20"/>
              </w:rPr>
              <w:t>versée en 2014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916EA3" w:rsidRPr="00753AC2" w:rsidRDefault="00916EA3" w:rsidP="00916EA3">
            <w:pPr>
              <w:jc w:val="center"/>
              <w:rPr>
                <w:rFonts w:ascii="Arial" w:hAnsi="Arial" w:cs="Arial"/>
                <w:sz w:val="20"/>
                <w:szCs w:val="20"/>
              </w:rPr>
            </w:pPr>
            <w:r w:rsidRPr="00753AC2">
              <w:rPr>
                <w:rFonts w:ascii="Arial" w:hAnsi="Arial" w:cs="Arial"/>
                <w:sz w:val="20"/>
                <w:szCs w:val="20"/>
              </w:rPr>
              <w:t>versée en 2015</w:t>
            </w:r>
          </w:p>
        </w:tc>
        <w:tc>
          <w:tcPr>
            <w:tcW w:w="1200" w:type="dxa"/>
            <w:tcBorders>
              <w:top w:val="single" w:sz="4" w:space="0" w:color="auto"/>
              <w:left w:val="nil"/>
              <w:bottom w:val="single" w:sz="4" w:space="0" w:color="auto"/>
              <w:right w:val="single" w:sz="4" w:space="0" w:color="auto"/>
            </w:tcBorders>
            <w:shd w:val="clear" w:color="auto" w:fill="auto"/>
            <w:vAlign w:val="center"/>
          </w:tcPr>
          <w:p w:rsidR="00916EA3" w:rsidRPr="00753AC2" w:rsidRDefault="00916EA3" w:rsidP="00916EA3">
            <w:pPr>
              <w:jc w:val="center"/>
              <w:rPr>
                <w:rFonts w:ascii="Arial" w:hAnsi="Arial" w:cs="Arial"/>
                <w:sz w:val="20"/>
                <w:szCs w:val="20"/>
              </w:rPr>
            </w:pPr>
            <w:r w:rsidRPr="00753AC2">
              <w:rPr>
                <w:rFonts w:ascii="Arial" w:hAnsi="Arial" w:cs="Arial"/>
                <w:sz w:val="20"/>
                <w:szCs w:val="20"/>
              </w:rPr>
              <w:t>versée en 2016</w:t>
            </w:r>
          </w:p>
        </w:tc>
      </w:tr>
      <w:tr w:rsidR="00916EA3" w:rsidRPr="00753AC2" w:rsidTr="00916EA3">
        <w:trPr>
          <w:trHeight w:val="255"/>
          <w:jc w:val="center"/>
        </w:trPr>
        <w:tc>
          <w:tcPr>
            <w:tcW w:w="3516" w:type="dxa"/>
            <w:tcBorders>
              <w:top w:val="single" w:sz="4" w:space="0" w:color="auto"/>
              <w:left w:val="single" w:sz="4" w:space="0" w:color="auto"/>
              <w:bottom w:val="dashSmallGap" w:sz="4" w:space="0" w:color="auto"/>
              <w:right w:val="single" w:sz="4" w:space="0" w:color="auto"/>
            </w:tcBorders>
            <w:shd w:val="clear" w:color="auto" w:fill="auto"/>
            <w:noWrap/>
            <w:vAlign w:val="center"/>
          </w:tcPr>
          <w:p w:rsidR="00916EA3" w:rsidRPr="00753AC2" w:rsidRDefault="00916EA3" w:rsidP="00916EA3">
            <w:pPr>
              <w:rPr>
                <w:rFonts w:ascii="Arial" w:hAnsi="Arial" w:cs="Arial"/>
                <w:sz w:val="20"/>
                <w:szCs w:val="20"/>
              </w:rPr>
            </w:pPr>
            <w:r w:rsidRPr="00753AC2">
              <w:rPr>
                <w:rFonts w:ascii="Arial" w:hAnsi="Arial" w:cs="Arial"/>
                <w:sz w:val="20"/>
                <w:szCs w:val="20"/>
              </w:rPr>
              <w:t>10 à 49 salariés</w:t>
            </w:r>
          </w:p>
        </w:tc>
        <w:tc>
          <w:tcPr>
            <w:tcW w:w="1240" w:type="dxa"/>
            <w:tcBorders>
              <w:top w:val="single" w:sz="4" w:space="0" w:color="auto"/>
              <w:left w:val="nil"/>
              <w:bottom w:val="dashSmallGap" w:sz="4" w:space="0" w:color="auto"/>
              <w:right w:val="nil"/>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11,2</w:t>
            </w:r>
          </w:p>
        </w:tc>
        <w:tc>
          <w:tcPr>
            <w:tcW w:w="1200" w:type="dxa"/>
            <w:tcBorders>
              <w:top w:val="single" w:sz="4" w:space="0" w:color="auto"/>
              <w:left w:val="single" w:sz="4" w:space="0" w:color="auto"/>
              <w:bottom w:val="dashSmallGap" w:sz="4" w:space="0" w:color="auto"/>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12,6</w:t>
            </w:r>
          </w:p>
        </w:tc>
        <w:tc>
          <w:tcPr>
            <w:tcW w:w="1200" w:type="dxa"/>
            <w:tcBorders>
              <w:top w:val="single" w:sz="4" w:space="0" w:color="auto"/>
              <w:left w:val="nil"/>
              <w:bottom w:val="dashSmallGap" w:sz="4" w:space="0" w:color="auto"/>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13,2</w:t>
            </w:r>
          </w:p>
        </w:tc>
      </w:tr>
      <w:tr w:rsidR="00916EA3" w:rsidRPr="00753AC2" w:rsidTr="00916EA3">
        <w:trPr>
          <w:trHeight w:val="255"/>
          <w:jc w:val="center"/>
        </w:trPr>
        <w:tc>
          <w:tcPr>
            <w:tcW w:w="3516" w:type="dxa"/>
            <w:tcBorders>
              <w:top w:val="dashSmallGap" w:sz="4" w:space="0" w:color="auto"/>
              <w:left w:val="single" w:sz="4" w:space="0" w:color="auto"/>
              <w:bottom w:val="nil"/>
              <w:right w:val="single" w:sz="4" w:space="0" w:color="auto"/>
            </w:tcBorders>
            <w:shd w:val="clear" w:color="auto" w:fill="auto"/>
            <w:noWrap/>
            <w:vAlign w:val="center"/>
          </w:tcPr>
          <w:p w:rsidR="00916EA3" w:rsidRPr="00753AC2" w:rsidRDefault="00916EA3" w:rsidP="00916EA3">
            <w:pPr>
              <w:rPr>
                <w:rFonts w:ascii="Arial" w:hAnsi="Arial" w:cs="Arial"/>
                <w:sz w:val="20"/>
                <w:szCs w:val="20"/>
              </w:rPr>
            </w:pPr>
            <w:r w:rsidRPr="00753AC2">
              <w:rPr>
                <w:rFonts w:ascii="Arial" w:hAnsi="Arial" w:cs="Arial"/>
                <w:sz w:val="20"/>
                <w:szCs w:val="20"/>
              </w:rPr>
              <w:t>50 à 99 salariés</w:t>
            </w:r>
          </w:p>
        </w:tc>
        <w:tc>
          <w:tcPr>
            <w:tcW w:w="1240" w:type="dxa"/>
            <w:tcBorders>
              <w:top w:val="dashSmallGap" w:sz="4" w:space="0" w:color="auto"/>
              <w:left w:val="nil"/>
              <w:bottom w:val="nil"/>
              <w:right w:val="nil"/>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6,2</w:t>
            </w:r>
          </w:p>
        </w:tc>
        <w:tc>
          <w:tcPr>
            <w:tcW w:w="1200" w:type="dxa"/>
            <w:tcBorders>
              <w:top w:val="dashSmallGap" w:sz="4" w:space="0" w:color="auto"/>
              <w:left w:val="single" w:sz="4" w:space="0" w:color="auto"/>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6,5</w:t>
            </w:r>
          </w:p>
        </w:tc>
        <w:tc>
          <w:tcPr>
            <w:tcW w:w="1200" w:type="dxa"/>
            <w:tcBorders>
              <w:top w:val="dashSmallGap" w:sz="4" w:space="0" w:color="auto"/>
              <w:left w:val="nil"/>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5,5</w:t>
            </w:r>
          </w:p>
        </w:tc>
      </w:tr>
      <w:tr w:rsidR="00916EA3" w:rsidRPr="00753AC2" w:rsidTr="00916EA3">
        <w:trPr>
          <w:trHeight w:val="255"/>
          <w:jc w:val="center"/>
        </w:trPr>
        <w:tc>
          <w:tcPr>
            <w:tcW w:w="3516" w:type="dxa"/>
            <w:tcBorders>
              <w:top w:val="nil"/>
              <w:left w:val="single" w:sz="4" w:space="0" w:color="auto"/>
              <w:bottom w:val="nil"/>
              <w:right w:val="single" w:sz="4" w:space="0" w:color="auto"/>
            </w:tcBorders>
            <w:shd w:val="clear" w:color="auto" w:fill="auto"/>
            <w:noWrap/>
            <w:vAlign w:val="center"/>
          </w:tcPr>
          <w:p w:rsidR="00916EA3" w:rsidRPr="00753AC2" w:rsidRDefault="00916EA3" w:rsidP="00916EA3">
            <w:pPr>
              <w:rPr>
                <w:rFonts w:ascii="Arial" w:hAnsi="Arial" w:cs="Arial"/>
                <w:sz w:val="20"/>
                <w:szCs w:val="20"/>
              </w:rPr>
            </w:pPr>
            <w:r w:rsidRPr="00753AC2">
              <w:rPr>
                <w:rFonts w:ascii="Arial" w:hAnsi="Arial" w:cs="Arial"/>
                <w:sz w:val="20"/>
                <w:szCs w:val="20"/>
              </w:rPr>
              <w:t>100 à 249 salariés</w:t>
            </w:r>
          </w:p>
        </w:tc>
        <w:tc>
          <w:tcPr>
            <w:tcW w:w="1240" w:type="dxa"/>
            <w:tcBorders>
              <w:top w:val="nil"/>
              <w:left w:val="nil"/>
              <w:bottom w:val="nil"/>
              <w:right w:val="nil"/>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5,9</w:t>
            </w:r>
          </w:p>
        </w:tc>
        <w:tc>
          <w:tcPr>
            <w:tcW w:w="1200" w:type="dxa"/>
            <w:tcBorders>
              <w:top w:val="nil"/>
              <w:left w:val="single" w:sz="4" w:space="0" w:color="auto"/>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7,4</w:t>
            </w:r>
          </w:p>
        </w:tc>
        <w:tc>
          <w:tcPr>
            <w:tcW w:w="1200" w:type="dxa"/>
            <w:tcBorders>
              <w:top w:val="nil"/>
              <w:left w:val="nil"/>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6,6</w:t>
            </w:r>
          </w:p>
        </w:tc>
      </w:tr>
      <w:tr w:rsidR="00916EA3" w:rsidRPr="00753AC2" w:rsidTr="00916EA3">
        <w:trPr>
          <w:trHeight w:val="255"/>
          <w:jc w:val="center"/>
        </w:trPr>
        <w:tc>
          <w:tcPr>
            <w:tcW w:w="3516" w:type="dxa"/>
            <w:tcBorders>
              <w:top w:val="nil"/>
              <w:left w:val="single" w:sz="4" w:space="0" w:color="auto"/>
              <w:bottom w:val="nil"/>
              <w:right w:val="single" w:sz="4" w:space="0" w:color="auto"/>
            </w:tcBorders>
            <w:shd w:val="clear" w:color="auto" w:fill="auto"/>
            <w:noWrap/>
            <w:vAlign w:val="center"/>
          </w:tcPr>
          <w:p w:rsidR="00916EA3" w:rsidRPr="00753AC2" w:rsidRDefault="00916EA3" w:rsidP="00916EA3">
            <w:pPr>
              <w:rPr>
                <w:rFonts w:ascii="Arial" w:hAnsi="Arial" w:cs="Arial"/>
                <w:sz w:val="20"/>
                <w:szCs w:val="20"/>
              </w:rPr>
            </w:pPr>
            <w:r w:rsidRPr="00753AC2">
              <w:rPr>
                <w:rFonts w:ascii="Arial" w:hAnsi="Arial" w:cs="Arial"/>
                <w:sz w:val="20"/>
                <w:szCs w:val="20"/>
              </w:rPr>
              <w:t>250 à 499 salariés</w:t>
            </w:r>
          </w:p>
        </w:tc>
        <w:tc>
          <w:tcPr>
            <w:tcW w:w="1240" w:type="dxa"/>
            <w:tcBorders>
              <w:top w:val="nil"/>
              <w:left w:val="nil"/>
              <w:bottom w:val="nil"/>
              <w:right w:val="nil"/>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10,0</w:t>
            </w:r>
          </w:p>
        </w:tc>
        <w:tc>
          <w:tcPr>
            <w:tcW w:w="1200" w:type="dxa"/>
            <w:tcBorders>
              <w:top w:val="nil"/>
              <w:left w:val="single" w:sz="4" w:space="0" w:color="auto"/>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8,7</w:t>
            </w:r>
          </w:p>
        </w:tc>
        <w:tc>
          <w:tcPr>
            <w:tcW w:w="1200" w:type="dxa"/>
            <w:tcBorders>
              <w:top w:val="nil"/>
              <w:left w:val="nil"/>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10,7</w:t>
            </w:r>
          </w:p>
        </w:tc>
      </w:tr>
      <w:tr w:rsidR="00916EA3" w:rsidRPr="00753AC2" w:rsidTr="00916EA3">
        <w:trPr>
          <w:trHeight w:val="255"/>
          <w:jc w:val="center"/>
        </w:trPr>
        <w:tc>
          <w:tcPr>
            <w:tcW w:w="3516" w:type="dxa"/>
            <w:tcBorders>
              <w:top w:val="nil"/>
              <w:left w:val="single" w:sz="4" w:space="0" w:color="auto"/>
              <w:bottom w:val="nil"/>
              <w:right w:val="single" w:sz="4" w:space="0" w:color="auto"/>
            </w:tcBorders>
            <w:shd w:val="clear" w:color="auto" w:fill="auto"/>
            <w:noWrap/>
            <w:vAlign w:val="center"/>
          </w:tcPr>
          <w:p w:rsidR="00916EA3" w:rsidRPr="00753AC2" w:rsidRDefault="00916EA3" w:rsidP="00916EA3">
            <w:pPr>
              <w:rPr>
                <w:rFonts w:ascii="Arial" w:hAnsi="Arial" w:cs="Arial"/>
                <w:sz w:val="20"/>
                <w:szCs w:val="20"/>
              </w:rPr>
            </w:pPr>
            <w:r w:rsidRPr="00753AC2">
              <w:rPr>
                <w:rFonts w:ascii="Arial" w:hAnsi="Arial" w:cs="Arial"/>
                <w:sz w:val="20"/>
                <w:szCs w:val="20"/>
              </w:rPr>
              <w:t>500 à 999 salariés</w:t>
            </w:r>
          </w:p>
        </w:tc>
        <w:tc>
          <w:tcPr>
            <w:tcW w:w="1240" w:type="dxa"/>
            <w:tcBorders>
              <w:top w:val="nil"/>
              <w:left w:val="nil"/>
              <w:bottom w:val="nil"/>
              <w:right w:val="nil"/>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14,2</w:t>
            </w:r>
          </w:p>
        </w:tc>
        <w:tc>
          <w:tcPr>
            <w:tcW w:w="1200" w:type="dxa"/>
            <w:tcBorders>
              <w:top w:val="nil"/>
              <w:left w:val="single" w:sz="4" w:space="0" w:color="auto"/>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13,0</w:t>
            </w:r>
          </w:p>
        </w:tc>
        <w:tc>
          <w:tcPr>
            <w:tcW w:w="1200" w:type="dxa"/>
            <w:tcBorders>
              <w:top w:val="nil"/>
              <w:left w:val="nil"/>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17,9</w:t>
            </w:r>
          </w:p>
        </w:tc>
      </w:tr>
      <w:tr w:rsidR="00916EA3" w:rsidRPr="00753AC2" w:rsidTr="00916EA3">
        <w:trPr>
          <w:trHeight w:val="255"/>
          <w:jc w:val="center"/>
        </w:trPr>
        <w:tc>
          <w:tcPr>
            <w:tcW w:w="3516" w:type="dxa"/>
            <w:tcBorders>
              <w:top w:val="nil"/>
              <w:left w:val="single" w:sz="4" w:space="0" w:color="auto"/>
              <w:bottom w:val="single" w:sz="4" w:space="0" w:color="auto"/>
              <w:right w:val="single" w:sz="4" w:space="0" w:color="auto"/>
            </w:tcBorders>
            <w:shd w:val="clear" w:color="auto" w:fill="auto"/>
            <w:noWrap/>
            <w:vAlign w:val="center"/>
          </w:tcPr>
          <w:p w:rsidR="00916EA3" w:rsidRPr="00753AC2" w:rsidRDefault="00916EA3" w:rsidP="00916EA3">
            <w:pPr>
              <w:rPr>
                <w:rFonts w:ascii="Arial" w:hAnsi="Arial" w:cs="Arial"/>
                <w:sz w:val="20"/>
                <w:szCs w:val="20"/>
              </w:rPr>
            </w:pPr>
            <w:r w:rsidRPr="00753AC2">
              <w:rPr>
                <w:rFonts w:ascii="Arial" w:hAnsi="Arial" w:cs="Arial"/>
                <w:sz w:val="20"/>
                <w:szCs w:val="20"/>
              </w:rPr>
              <w:t>1 000 salariés ou plus</w:t>
            </w:r>
          </w:p>
        </w:tc>
        <w:tc>
          <w:tcPr>
            <w:tcW w:w="1240" w:type="dxa"/>
            <w:tcBorders>
              <w:top w:val="nil"/>
              <w:left w:val="nil"/>
              <w:bottom w:val="single" w:sz="4" w:space="0" w:color="auto"/>
              <w:right w:val="nil"/>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22,2</w:t>
            </w:r>
          </w:p>
        </w:tc>
        <w:tc>
          <w:tcPr>
            <w:tcW w:w="1200" w:type="dxa"/>
            <w:tcBorders>
              <w:top w:val="nil"/>
              <w:left w:val="single" w:sz="4" w:space="0" w:color="auto"/>
              <w:bottom w:val="single" w:sz="4" w:space="0" w:color="auto"/>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24,0</w:t>
            </w:r>
          </w:p>
        </w:tc>
        <w:tc>
          <w:tcPr>
            <w:tcW w:w="1200" w:type="dxa"/>
            <w:tcBorders>
              <w:top w:val="nil"/>
              <w:left w:val="nil"/>
              <w:bottom w:val="single" w:sz="4" w:space="0" w:color="auto"/>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25,4</w:t>
            </w:r>
          </w:p>
        </w:tc>
      </w:tr>
      <w:tr w:rsidR="00916EA3" w:rsidRPr="00753AC2" w:rsidTr="00916EA3">
        <w:trPr>
          <w:trHeight w:val="221"/>
          <w:jc w:val="center"/>
        </w:trPr>
        <w:tc>
          <w:tcPr>
            <w:tcW w:w="3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EA3" w:rsidRPr="00753AC2" w:rsidRDefault="00916EA3" w:rsidP="00916EA3">
            <w:pPr>
              <w:rPr>
                <w:rFonts w:ascii="Arial" w:hAnsi="Arial" w:cs="Arial"/>
                <w:b/>
                <w:bCs/>
                <w:sz w:val="20"/>
                <w:szCs w:val="20"/>
              </w:rPr>
            </w:pPr>
            <w:r w:rsidRPr="00753AC2">
              <w:rPr>
                <w:rFonts w:ascii="Arial" w:hAnsi="Arial" w:cs="Arial"/>
                <w:b/>
                <w:bCs/>
                <w:sz w:val="20"/>
                <w:szCs w:val="20"/>
              </w:rPr>
              <w:t xml:space="preserve">Entreprises d’au moins 50 salariés </w:t>
            </w:r>
          </w:p>
        </w:tc>
        <w:tc>
          <w:tcPr>
            <w:tcW w:w="1240" w:type="dxa"/>
            <w:tcBorders>
              <w:top w:val="single" w:sz="4" w:space="0" w:color="auto"/>
              <w:left w:val="nil"/>
              <w:bottom w:val="single" w:sz="4" w:space="0" w:color="auto"/>
              <w:right w:val="nil"/>
            </w:tcBorders>
            <w:shd w:val="clear" w:color="auto" w:fill="auto"/>
            <w:noWrap/>
            <w:vAlign w:val="center"/>
          </w:tcPr>
          <w:p w:rsidR="00916EA3" w:rsidRPr="00753AC2" w:rsidRDefault="00916EA3" w:rsidP="00916EA3">
            <w:pPr>
              <w:ind w:right="227"/>
              <w:jc w:val="right"/>
              <w:rPr>
                <w:rFonts w:ascii="Arial" w:hAnsi="Arial" w:cs="Arial"/>
                <w:b/>
                <w:sz w:val="20"/>
                <w:szCs w:val="20"/>
              </w:rPr>
            </w:pPr>
            <w:r w:rsidRPr="00753AC2">
              <w:rPr>
                <w:rFonts w:ascii="Arial" w:hAnsi="Arial" w:cs="Arial"/>
                <w:b/>
                <w:sz w:val="20"/>
                <w:szCs w:val="20"/>
              </w:rPr>
              <w:t>7,9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EA3" w:rsidRPr="00753AC2" w:rsidRDefault="00916EA3" w:rsidP="00916EA3">
            <w:pPr>
              <w:ind w:right="227"/>
              <w:jc w:val="right"/>
              <w:rPr>
                <w:rFonts w:ascii="Arial" w:hAnsi="Arial" w:cs="Arial"/>
                <w:b/>
                <w:sz w:val="20"/>
                <w:szCs w:val="20"/>
              </w:rPr>
            </w:pPr>
            <w:r w:rsidRPr="00753AC2">
              <w:rPr>
                <w:rFonts w:ascii="Arial" w:hAnsi="Arial" w:cs="Arial"/>
                <w:b/>
                <w:sz w:val="20"/>
                <w:szCs w:val="20"/>
              </w:rPr>
              <w:t>8,2</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916EA3" w:rsidRPr="00753AC2" w:rsidRDefault="00916EA3" w:rsidP="00916EA3">
            <w:pPr>
              <w:ind w:right="227"/>
              <w:jc w:val="right"/>
              <w:rPr>
                <w:rFonts w:ascii="Arial" w:hAnsi="Arial" w:cs="Arial"/>
                <w:b/>
                <w:sz w:val="20"/>
                <w:szCs w:val="20"/>
              </w:rPr>
            </w:pPr>
            <w:r w:rsidRPr="00753AC2">
              <w:rPr>
                <w:rFonts w:ascii="Arial" w:hAnsi="Arial" w:cs="Arial"/>
                <w:b/>
                <w:sz w:val="20"/>
                <w:szCs w:val="20"/>
              </w:rPr>
              <w:t>8,0</w:t>
            </w:r>
          </w:p>
        </w:tc>
      </w:tr>
      <w:tr w:rsidR="00916EA3" w:rsidRPr="00753AC2" w:rsidTr="00916EA3">
        <w:trPr>
          <w:trHeight w:val="176"/>
          <w:jc w:val="center"/>
        </w:trPr>
        <w:tc>
          <w:tcPr>
            <w:tcW w:w="3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EA3" w:rsidRPr="00753AC2" w:rsidRDefault="00916EA3" w:rsidP="00916EA3">
            <w:pPr>
              <w:rPr>
                <w:rFonts w:ascii="Arial" w:hAnsi="Arial" w:cs="Arial"/>
                <w:b/>
                <w:bCs/>
                <w:sz w:val="20"/>
                <w:szCs w:val="20"/>
              </w:rPr>
            </w:pPr>
            <w:r w:rsidRPr="00753AC2">
              <w:rPr>
                <w:rFonts w:ascii="Arial" w:hAnsi="Arial" w:cs="Arial"/>
                <w:b/>
                <w:bCs/>
                <w:sz w:val="20"/>
                <w:szCs w:val="20"/>
              </w:rPr>
              <w:t>Ensemble des entreprises</w:t>
            </w:r>
          </w:p>
        </w:tc>
        <w:tc>
          <w:tcPr>
            <w:tcW w:w="1240" w:type="dxa"/>
            <w:tcBorders>
              <w:top w:val="single" w:sz="4" w:space="0" w:color="auto"/>
              <w:left w:val="nil"/>
              <w:bottom w:val="single" w:sz="4" w:space="0" w:color="auto"/>
              <w:right w:val="nil"/>
            </w:tcBorders>
            <w:shd w:val="clear" w:color="auto" w:fill="auto"/>
            <w:noWrap/>
            <w:vAlign w:val="center"/>
          </w:tcPr>
          <w:p w:rsidR="00916EA3" w:rsidRPr="00753AC2" w:rsidRDefault="00916EA3" w:rsidP="00916EA3">
            <w:pPr>
              <w:ind w:right="227"/>
              <w:jc w:val="right"/>
              <w:rPr>
                <w:rFonts w:ascii="Arial" w:hAnsi="Arial" w:cs="Arial"/>
                <w:b/>
                <w:bCs/>
                <w:sz w:val="20"/>
                <w:szCs w:val="20"/>
              </w:rPr>
            </w:pPr>
            <w:r w:rsidRPr="00753AC2">
              <w:rPr>
                <w:rFonts w:ascii="Arial" w:hAnsi="Arial" w:cs="Arial"/>
                <w:b/>
                <w:bCs/>
                <w:sz w:val="20"/>
                <w:szCs w:val="20"/>
              </w:rPr>
              <w:t>8,7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EA3" w:rsidRPr="00753AC2" w:rsidRDefault="00916EA3" w:rsidP="00916EA3">
            <w:pPr>
              <w:ind w:right="227"/>
              <w:jc w:val="right"/>
              <w:rPr>
                <w:rFonts w:ascii="Arial" w:hAnsi="Arial" w:cs="Arial"/>
                <w:b/>
                <w:bCs/>
                <w:sz w:val="20"/>
                <w:szCs w:val="20"/>
              </w:rPr>
            </w:pPr>
            <w:r w:rsidRPr="00753AC2">
              <w:rPr>
                <w:rFonts w:ascii="Arial" w:hAnsi="Arial" w:cs="Arial"/>
                <w:b/>
                <w:bCs/>
                <w:sz w:val="20"/>
                <w:szCs w:val="20"/>
              </w:rPr>
              <w:t>9,2</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916EA3" w:rsidRPr="00753AC2" w:rsidRDefault="00916EA3" w:rsidP="00916EA3">
            <w:pPr>
              <w:ind w:right="227"/>
              <w:jc w:val="right"/>
              <w:rPr>
                <w:rFonts w:ascii="Arial" w:hAnsi="Arial" w:cs="Arial"/>
                <w:b/>
                <w:bCs/>
                <w:sz w:val="20"/>
                <w:szCs w:val="20"/>
              </w:rPr>
            </w:pPr>
            <w:r w:rsidRPr="00753AC2">
              <w:rPr>
                <w:rFonts w:ascii="Arial" w:hAnsi="Arial" w:cs="Arial"/>
                <w:b/>
                <w:bCs/>
                <w:sz w:val="20"/>
                <w:szCs w:val="20"/>
              </w:rPr>
              <w:t>9,3</w:t>
            </w:r>
          </w:p>
        </w:tc>
      </w:tr>
    </w:tbl>
    <w:p w:rsidR="00916EA3" w:rsidRPr="00753AC2" w:rsidRDefault="00916EA3" w:rsidP="009014A4">
      <w:pPr>
        <w:autoSpaceDE w:val="0"/>
        <w:autoSpaceDN w:val="0"/>
        <w:adjustRightInd w:val="0"/>
        <w:spacing w:after="0" w:line="240" w:lineRule="auto"/>
        <w:ind w:firstLine="1620"/>
        <w:jc w:val="both"/>
        <w:rPr>
          <w:rFonts w:ascii="Arial" w:hAnsi="Arial" w:cs="Arial"/>
          <w:bCs/>
          <w:i/>
          <w:sz w:val="16"/>
          <w:szCs w:val="16"/>
        </w:rPr>
      </w:pPr>
      <w:r w:rsidRPr="00753AC2">
        <w:rPr>
          <w:rFonts w:ascii="Arial" w:hAnsi="Arial" w:cs="Arial"/>
          <w:bCs/>
          <w:i/>
          <w:sz w:val="16"/>
          <w:szCs w:val="16"/>
        </w:rPr>
        <w:t xml:space="preserve">Champ : entreprises de 10 salariés ou plus qui ont distribué une prime de participation </w:t>
      </w:r>
    </w:p>
    <w:p w:rsidR="00916EA3" w:rsidRPr="00753AC2" w:rsidRDefault="00916EA3" w:rsidP="009014A4">
      <w:pPr>
        <w:autoSpaceDE w:val="0"/>
        <w:autoSpaceDN w:val="0"/>
        <w:adjustRightInd w:val="0"/>
        <w:spacing w:after="0" w:line="240" w:lineRule="auto"/>
        <w:ind w:firstLine="1620"/>
        <w:jc w:val="both"/>
        <w:rPr>
          <w:rFonts w:ascii="Arial" w:hAnsi="Arial" w:cs="Arial"/>
          <w:b/>
          <w:bCs/>
          <w:sz w:val="16"/>
          <w:szCs w:val="16"/>
        </w:rPr>
      </w:pPr>
      <w:r w:rsidRPr="00753AC2">
        <w:rPr>
          <w:rFonts w:ascii="Arial" w:hAnsi="Arial" w:cs="Arial"/>
          <w:bCs/>
          <w:i/>
          <w:sz w:val="16"/>
          <w:szCs w:val="16"/>
        </w:rPr>
        <w:t>Source : DARES, enquêtes Acemo-PIPA 2014 à 2016</w:t>
      </w:r>
    </w:p>
    <w:p w:rsidR="00916EA3" w:rsidRPr="00753AC2" w:rsidRDefault="00916EA3" w:rsidP="00916EA3">
      <w:pPr>
        <w:autoSpaceDE w:val="0"/>
        <w:autoSpaceDN w:val="0"/>
        <w:adjustRightInd w:val="0"/>
        <w:rPr>
          <w:rFonts w:ascii="Arial" w:hAnsi="Arial" w:cs="Arial"/>
          <w:b/>
          <w:bCs/>
          <w:sz w:val="20"/>
          <w:szCs w:val="20"/>
        </w:rPr>
      </w:pPr>
    </w:p>
    <w:p w:rsidR="00916EA3" w:rsidRPr="00753AC2" w:rsidRDefault="00916EA3" w:rsidP="00916EA3">
      <w:pPr>
        <w:autoSpaceDE w:val="0"/>
        <w:autoSpaceDN w:val="0"/>
        <w:adjustRightInd w:val="0"/>
        <w:ind w:firstLine="708"/>
        <w:jc w:val="center"/>
        <w:rPr>
          <w:rFonts w:ascii="Arial" w:hAnsi="Arial" w:cs="Arial"/>
          <w:b/>
          <w:bCs/>
          <w:sz w:val="20"/>
          <w:szCs w:val="20"/>
        </w:rPr>
      </w:pPr>
      <w:r w:rsidRPr="00753AC2">
        <w:rPr>
          <w:rFonts w:ascii="Arial" w:hAnsi="Arial" w:cs="Arial"/>
          <w:b/>
          <w:bCs/>
          <w:sz w:val="20"/>
          <w:szCs w:val="20"/>
        </w:rPr>
        <w:lastRenderedPageBreak/>
        <w:t>Tableau 2 : Prime de participation moyenne versée en 2016 selon la formule de calcul</w:t>
      </w:r>
    </w:p>
    <w:p w:rsidR="00916EA3" w:rsidRDefault="00916EA3" w:rsidP="00916EA3">
      <w:pPr>
        <w:autoSpaceDE w:val="0"/>
        <w:autoSpaceDN w:val="0"/>
        <w:adjustRightInd w:val="0"/>
        <w:ind w:firstLine="708"/>
        <w:jc w:val="center"/>
        <w:rPr>
          <w:rFonts w:ascii="Arial" w:hAnsi="Arial" w:cs="Arial"/>
          <w:bCs/>
          <w:sz w:val="20"/>
          <w:szCs w:val="20"/>
        </w:rPr>
      </w:pPr>
      <w:r w:rsidRPr="00753AC2">
        <w:rPr>
          <w:rFonts w:ascii="Arial" w:hAnsi="Arial" w:cs="Arial"/>
          <w:bCs/>
          <w:sz w:val="20"/>
          <w:szCs w:val="20"/>
        </w:rPr>
        <w:t xml:space="preserve">                                                         (en euros, données arrondies)</w:t>
      </w:r>
    </w:p>
    <w:tbl>
      <w:tblPr>
        <w:tblpPr w:leftFromText="141" w:rightFromText="141" w:vertAnchor="text" w:horzAnchor="margin" w:tblpXSpec="center" w:tblpY="121"/>
        <w:tblOverlap w:val="never"/>
        <w:tblW w:w="7069" w:type="dxa"/>
        <w:tblCellMar>
          <w:left w:w="70" w:type="dxa"/>
          <w:right w:w="70" w:type="dxa"/>
        </w:tblCellMar>
        <w:tblLook w:val="0000" w:firstRow="0" w:lastRow="0" w:firstColumn="0" w:lastColumn="0" w:noHBand="0" w:noVBand="0"/>
      </w:tblPr>
      <w:tblGrid>
        <w:gridCol w:w="3713"/>
        <w:gridCol w:w="1152"/>
        <w:gridCol w:w="1241"/>
        <w:gridCol w:w="963"/>
      </w:tblGrid>
      <w:tr w:rsidR="00916EA3" w:rsidRPr="00753AC2" w:rsidTr="00916EA3">
        <w:trPr>
          <w:trHeight w:val="1020"/>
        </w:trPr>
        <w:tc>
          <w:tcPr>
            <w:tcW w:w="3713" w:type="dxa"/>
            <w:tcBorders>
              <w:top w:val="single" w:sz="4" w:space="0" w:color="auto"/>
              <w:left w:val="single" w:sz="4" w:space="0" w:color="auto"/>
              <w:bottom w:val="single" w:sz="4" w:space="0" w:color="auto"/>
              <w:right w:val="nil"/>
            </w:tcBorders>
            <w:shd w:val="clear" w:color="auto" w:fill="auto"/>
            <w:noWrap/>
            <w:vAlign w:val="center"/>
          </w:tcPr>
          <w:p w:rsidR="00916EA3" w:rsidRPr="00753AC2" w:rsidRDefault="00916EA3" w:rsidP="00916EA3">
            <w:pPr>
              <w:jc w:val="center"/>
              <w:rPr>
                <w:rFonts w:ascii="Arial" w:hAnsi="Arial" w:cs="Arial"/>
                <w:sz w:val="20"/>
                <w:szCs w:val="20"/>
              </w:rPr>
            </w:pPr>
            <w:r w:rsidRPr="00753AC2">
              <w:rPr>
                <w:rFonts w:ascii="Arial" w:hAnsi="Arial" w:cs="Arial"/>
                <w:sz w:val="20"/>
                <w:szCs w:val="20"/>
              </w:rPr>
              <w:t>Taille de l’entreprise</w:t>
            </w:r>
          </w:p>
        </w:tc>
        <w:tc>
          <w:tcPr>
            <w:tcW w:w="1152" w:type="dxa"/>
            <w:tcBorders>
              <w:top w:val="single" w:sz="4" w:space="0" w:color="auto"/>
              <w:left w:val="single" w:sz="4" w:space="0" w:color="auto"/>
              <w:bottom w:val="single" w:sz="4" w:space="0" w:color="auto"/>
              <w:right w:val="dashed" w:sz="4" w:space="0" w:color="auto"/>
            </w:tcBorders>
            <w:shd w:val="clear" w:color="auto" w:fill="auto"/>
            <w:vAlign w:val="center"/>
          </w:tcPr>
          <w:p w:rsidR="00916EA3" w:rsidRPr="00753AC2" w:rsidRDefault="00916EA3" w:rsidP="00916EA3">
            <w:pPr>
              <w:jc w:val="center"/>
              <w:rPr>
                <w:rFonts w:ascii="Arial" w:hAnsi="Arial" w:cs="Arial"/>
                <w:sz w:val="20"/>
                <w:szCs w:val="20"/>
              </w:rPr>
            </w:pPr>
            <w:r w:rsidRPr="00753AC2">
              <w:rPr>
                <w:rFonts w:ascii="Arial" w:hAnsi="Arial" w:cs="Arial"/>
                <w:sz w:val="20"/>
                <w:szCs w:val="20"/>
              </w:rPr>
              <w:t>Formule de référence</w:t>
            </w:r>
          </w:p>
        </w:tc>
        <w:tc>
          <w:tcPr>
            <w:tcW w:w="1241" w:type="dxa"/>
            <w:tcBorders>
              <w:top w:val="single" w:sz="4" w:space="0" w:color="auto"/>
              <w:left w:val="dashed" w:sz="4" w:space="0" w:color="auto"/>
              <w:bottom w:val="single" w:sz="4" w:space="0" w:color="auto"/>
              <w:right w:val="single" w:sz="4" w:space="0" w:color="auto"/>
            </w:tcBorders>
            <w:shd w:val="clear" w:color="auto" w:fill="auto"/>
            <w:vAlign w:val="center"/>
          </w:tcPr>
          <w:p w:rsidR="00916EA3" w:rsidRPr="00753AC2" w:rsidRDefault="00916EA3" w:rsidP="00916EA3">
            <w:pPr>
              <w:jc w:val="center"/>
              <w:rPr>
                <w:rFonts w:ascii="Arial" w:hAnsi="Arial" w:cs="Arial"/>
                <w:sz w:val="20"/>
                <w:szCs w:val="20"/>
              </w:rPr>
            </w:pPr>
            <w:r w:rsidRPr="00753AC2">
              <w:rPr>
                <w:rFonts w:ascii="Arial" w:hAnsi="Arial" w:cs="Arial"/>
                <w:sz w:val="20"/>
                <w:szCs w:val="20"/>
              </w:rPr>
              <w:t xml:space="preserve">Formule </w:t>
            </w:r>
          </w:p>
          <w:p w:rsidR="00916EA3" w:rsidRPr="00753AC2" w:rsidRDefault="00916EA3" w:rsidP="00916EA3">
            <w:pPr>
              <w:jc w:val="center"/>
              <w:rPr>
                <w:rFonts w:ascii="Arial" w:hAnsi="Arial" w:cs="Arial"/>
                <w:sz w:val="20"/>
                <w:szCs w:val="20"/>
              </w:rPr>
            </w:pPr>
            <w:r w:rsidRPr="00753AC2">
              <w:rPr>
                <w:rFonts w:ascii="Arial" w:hAnsi="Arial" w:cs="Arial"/>
                <w:sz w:val="20"/>
                <w:szCs w:val="20"/>
              </w:rPr>
              <w:t>dérogatoire</w:t>
            </w:r>
          </w:p>
        </w:tc>
        <w:tc>
          <w:tcPr>
            <w:tcW w:w="963" w:type="dxa"/>
            <w:tcBorders>
              <w:top w:val="single" w:sz="4" w:space="0" w:color="auto"/>
              <w:left w:val="nil"/>
              <w:bottom w:val="single" w:sz="4" w:space="0" w:color="auto"/>
              <w:right w:val="single" w:sz="4" w:space="0" w:color="auto"/>
            </w:tcBorders>
            <w:shd w:val="clear" w:color="auto" w:fill="auto"/>
            <w:vAlign w:val="center"/>
          </w:tcPr>
          <w:p w:rsidR="00916EA3" w:rsidRPr="00753AC2" w:rsidRDefault="00916EA3" w:rsidP="00916EA3">
            <w:pPr>
              <w:jc w:val="center"/>
              <w:rPr>
                <w:rFonts w:ascii="Arial" w:hAnsi="Arial" w:cs="Arial"/>
                <w:sz w:val="20"/>
                <w:szCs w:val="20"/>
              </w:rPr>
            </w:pPr>
            <w:r w:rsidRPr="00753AC2">
              <w:rPr>
                <w:rFonts w:ascii="Arial" w:hAnsi="Arial" w:cs="Arial"/>
                <w:sz w:val="20"/>
                <w:szCs w:val="20"/>
              </w:rPr>
              <w:t xml:space="preserve">Prime moyenne </w:t>
            </w:r>
          </w:p>
        </w:tc>
      </w:tr>
      <w:tr w:rsidR="00916EA3" w:rsidRPr="00753AC2" w:rsidTr="00916EA3">
        <w:trPr>
          <w:trHeight w:val="255"/>
        </w:trPr>
        <w:tc>
          <w:tcPr>
            <w:tcW w:w="3713" w:type="dxa"/>
            <w:tcBorders>
              <w:top w:val="single" w:sz="4" w:space="0" w:color="auto"/>
              <w:left w:val="single" w:sz="4" w:space="0" w:color="auto"/>
              <w:bottom w:val="dashSmallGap" w:sz="4" w:space="0" w:color="auto"/>
              <w:right w:val="nil"/>
            </w:tcBorders>
            <w:shd w:val="clear" w:color="auto" w:fill="auto"/>
            <w:noWrap/>
            <w:vAlign w:val="center"/>
          </w:tcPr>
          <w:p w:rsidR="00916EA3" w:rsidRPr="00753AC2" w:rsidRDefault="00916EA3" w:rsidP="00916EA3">
            <w:pPr>
              <w:rPr>
                <w:rFonts w:ascii="Arial" w:hAnsi="Arial" w:cs="Arial"/>
                <w:sz w:val="20"/>
                <w:szCs w:val="20"/>
              </w:rPr>
            </w:pPr>
            <w:r w:rsidRPr="00753AC2">
              <w:rPr>
                <w:rFonts w:ascii="Arial" w:hAnsi="Arial" w:cs="Arial"/>
                <w:sz w:val="20"/>
                <w:szCs w:val="20"/>
              </w:rPr>
              <w:t>10 à 49 salariés</w:t>
            </w:r>
          </w:p>
        </w:tc>
        <w:tc>
          <w:tcPr>
            <w:tcW w:w="1152" w:type="dxa"/>
            <w:tcBorders>
              <w:top w:val="single" w:sz="4" w:space="0" w:color="auto"/>
              <w:left w:val="single" w:sz="4" w:space="0" w:color="auto"/>
              <w:bottom w:val="dashSmallGap" w:sz="4" w:space="0" w:color="auto"/>
              <w:right w:val="dashed"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1 600</w:t>
            </w:r>
          </w:p>
        </w:tc>
        <w:tc>
          <w:tcPr>
            <w:tcW w:w="1241" w:type="dxa"/>
            <w:tcBorders>
              <w:top w:val="single" w:sz="4" w:space="0" w:color="auto"/>
              <w:left w:val="dashed" w:sz="4" w:space="0" w:color="auto"/>
              <w:bottom w:val="dashSmallGap" w:sz="4" w:space="0" w:color="auto"/>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1 600</w:t>
            </w:r>
          </w:p>
        </w:tc>
        <w:tc>
          <w:tcPr>
            <w:tcW w:w="963" w:type="dxa"/>
            <w:tcBorders>
              <w:top w:val="single" w:sz="4" w:space="0" w:color="auto"/>
              <w:left w:val="nil"/>
              <w:bottom w:val="dashSmallGap" w:sz="4" w:space="0" w:color="auto"/>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1 600</w:t>
            </w:r>
          </w:p>
        </w:tc>
      </w:tr>
      <w:tr w:rsidR="00916EA3" w:rsidRPr="00753AC2" w:rsidTr="00916EA3">
        <w:trPr>
          <w:trHeight w:val="255"/>
        </w:trPr>
        <w:tc>
          <w:tcPr>
            <w:tcW w:w="3713" w:type="dxa"/>
            <w:tcBorders>
              <w:top w:val="dashSmallGap" w:sz="4" w:space="0" w:color="auto"/>
              <w:left w:val="single" w:sz="4" w:space="0" w:color="auto"/>
              <w:bottom w:val="nil"/>
              <w:right w:val="nil"/>
            </w:tcBorders>
            <w:shd w:val="clear" w:color="auto" w:fill="auto"/>
            <w:noWrap/>
            <w:vAlign w:val="center"/>
          </w:tcPr>
          <w:p w:rsidR="00916EA3" w:rsidRPr="00753AC2" w:rsidRDefault="00916EA3" w:rsidP="00916EA3">
            <w:pPr>
              <w:rPr>
                <w:rFonts w:ascii="Arial" w:hAnsi="Arial" w:cs="Arial"/>
                <w:sz w:val="20"/>
                <w:szCs w:val="20"/>
              </w:rPr>
            </w:pPr>
            <w:r w:rsidRPr="00753AC2">
              <w:rPr>
                <w:rFonts w:ascii="Arial" w:hAnsi="Arial" w:cs="Arial"/>
                <w:sz w:val="20"/>
                <w:szCs w:val="20"/>
              </w:rPr>
              <w:t>50 à 99 salariés</w:t>
            </w:r>
          </w:p>
        </w:tc>
        <w:tc>
          <w:tcPr>
            <w:tcW w:w="1152" w:type="dxa"/>
            <w:tcBorders>
              <w:top w:val="dashSmallGap" w:sz="4" w:space="0" w:color="auto"/>
              <w:left w:val="single" w:sz="4" w:space="0" w:color="auto"/>
              <w:bottom w:val="nil"/>
              <w:right w:val="dashed"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1 400</w:t>
            </w:r>
          </w:p>
        </w:tc>
        <w:tc>
          <w:tcPr>
            <w:tcW w:w="1241" w:type="dxa"/>
            <w:tcBorders>
              <w:top w:val="dashSmallGap" w:sz="4" w:space="0" w:color="auto"/>
              <w:left w:val="dashed" w:sz="4" w:space="0" w:color="auto"/>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2 400</w:t>
            </w:r>
          </w:p>
        </w:tc>
        <w:tc>
          <w:tcPr>
            <w:tcW w:w="963" w:type="dxa"/>
            <w:tcBorders>
              <w:top w:val="dashSmallGap" w:sz="4" w:space="0" w:color="auto"/>
              <w:left w:val="nil"/>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1 400</w:t>
            </w:r>
          </w:p>
        </w:tc>
      </w:tr>
      <w:tr w:rsidR="00916EA3" w:rsidRPr="00753AC2" w:rsidTr="00916EA3">
        <w:trPr>
          <w:trHeight w:val="255"/>
        </w:trPr>
        <w:tc>
          <w:tcPr>
            <w:tcW w:w="3713" w:type="dxa"/>
            <w:tcBorders>
              <w:top w:val="nil"/>
              <w:left w:val="single" w:sz="4" w:space="0" w:color="auto"/>
              <w:bottom w:val="nil"/>
              <w:right w:val="nil"/>
            </w:tcBorders>
            <w:shd w:val="clear" w:color="auto" w:fill="auto"/>
            <w:noWrap/>
            <w:vAlign w:val="center"/>
          </w:tcPr>
          <w:p w:rsidR="00916EA3" w:rsidRPr="00753AC2" w:rsidRDefault="00916EA3" w:rsidP="00916EA3">
            <w:pPr>
              <w:rPr>
                <w:rFonts w:ascii="Arial" w:hAnsi="Arial" w:cs="Arial"/>
                <w:sz w:val="20"/>
                <w:szCs w:val="20"/>
              </w:rPr>
            </w:pPr>
            <w:r w:rsidRPr="00753AC2">
              <w:rPr>
                <w:rFonts w:ascii="Arial" w:hAnsi="Arial" w:cs="Arial"/>
                <w:sz w:val="20"/>
                <w:szCs w:val="20"/>
              </w:rPr>
              <w:t>100 à 249 salariés</w:t>
            </w:r>
          </w:p>
        </w:tc>
        <w:tc>
          <w:tcPr>
            <w:tcW w:w="1152" w:type="dxa"/>
            <w:tcBorders>
              <w:top w:val="nil"/>
              <w:left w:val="single" w:sz="4" w:space="0" w:color="auto"/>
              <w:bottom w:val="nil"/>
              <w:right w:val="dashed"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1 400</w:t>
            </w:r>
          </w:p>
        </w:tc>
        <w:tc>
          <w:tcPr>
            <w:tcW w:w="1241" w:type="dxa"/>
            <w:tcBorders>
              <w:top w:val="nil"/>
              <w:left w:val="dashed" w:sz="4" w:space="0" w:color="auto"/>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1 700</w:t>
            </w:r>
          </w:p>
        </w:tc>
        <w:tc>
          <w:tcPr>
            <w:tcW w:w="963" w:type="dxa"/>
            <w:tcBorders>
              <w:top w:val="nil"/>
              <w:left w:val="nil"/>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1 400</w:t>
            </w:r>
          </w:p>
        </w:tc>
      </w:tr>
      <w:tr w:rsidR="00916EA3" w:rsidRPr="00753AC2" w:rsidTr="00916EA3">
        <w:trPr>
          <w:trHeight w:val="255"/>
        </w:trPr>
        <w:tc>
          <w:tcPr>
            <w:tcW w:w="3713" w:type="dxa"/>
            <w:tcBorders>
              <w:top w:val="nil"/>
              <w:left w:val="single" w:sz="4" w:space="0" w:color="auto"/>
              <w:bottom w:val="nil"/>
              <w:right w:val="nil"/>
            </w:tcBorders>
            <w:shd w:val="clear" w:color="auto" w:fill="auto"/>
            <w:noWrap/>
            <w:vAlign w:val="center"/>
          </w:tcPr>
          <w:p w:rsidR="00916EA3" w:rsidRPr="00753AC2" w:rsidRDefault="00916EA3" w:rsidP="00916EA3">
            <w:pPr>
              <w:rPr>
                <w:rFonts w:ascii="Arial" w:hAnsi="Arial" w:cs="Arial"/>
                <w:sz w:val="20"/>
                <w:szCs w:val="20"/>
              </w:rPr>
            </w:pPr>
            <w:r w:rsidRPr="00753AC2">
              <w:rPr>
                <w:rFonts w:ascii="Arial" w:hAnsi="Arial" w:cs="Arial"/>
                <w:sz w:val="20"/>
                <w:szCs w:val="20"/>
              </w:rPr>
              <w:t>250 à 499 salariés</w:t>
            </w:r>
          </w:p>
        </w:tc>
        <w:tc>
          <w:tcPr>
            <w:tcW w:w="1152" w:type="dxa"/>
            <w:tcBorders>
              <w:top w:val="nil"/>
              <w:left w:val="single" w:sz="4" w:space="0" w:color="auto"/>
              <w:bottom w:val="nil"/>
              <w:right w:val="dashed"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1 300</w:t>
            </w:r>
          </w:p>
        </w:tc>
        <w:tc>
          <w:tcPr>
            <w:tcW w:w="1241" w:type="dxa"/>
            <w:tcBorders>
              <w:top w:val="nil"/>
              <w:left w:val="dashed" w:sz="4" w:space="0" w:color="auto"/>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2 100</w:t>
            </w:r>
          </w:p>
        </w:tc>
        <w:tc>
          <w:tcPr>
            <w:tcW w:w="963" w:type="dxa"/>
            <w:tcBorders>
              <w:top w:val="nil"/>
              <w:left w:val="nil"/>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1 400</w:t>
            </w:r>
          </w:p>
        </w:tc>
      </w:tr>
      <w:tr w:rsidR="00916EA3" w:rsidRPr="00753AC2" w:rsidTr="00916EA3">
        <w:trPr>
          <w:trHeight w:val="255"/>
        </w:trPr>
        <w:tc>
          <w:tcPr>
            <w:tcW w:w="3713" w:type="dxa"/>
            <w:tcBorders>
              <w:top w:val="nil"/>
              <w:left w:val="single" w:sz="4" w:space="0" w:color="auto"/>
              <w:bottom w:val="nil"/>
              <w:right w:val="nil"/>
            </w:tcBorders>
            <w:shd w:val="clear" w:color="auto" w:fill="auto"/>
            <w:noWrap/>
            <w:vAlign w:val="center"/>
          </w:tcPr>
          <w:p w:rsidR="00916EA3" w:rsidRPr="00753AC2" w:rsidRDefault="00916EA3" w:rsidP="00916EA3">
            <w:pPr>
              <w:rPr>
                <w:rFonts w:ascii="Arial" w:hAnsi="Arial" w:cs="Arial"/>
                <w:sz w:val="20"/>
                <w:szCs w:val="20"/>
              </w:rPr>
            </w:pPr>
            <w:r w:rsidRPr="00753AC2">
              <w:rPr>
                <w:rFonts w:ascii="Arial" w:hAnsi="Arial" w:cs="Arial"/>
                <w:sz w:val="20"/>
                <w:szCs w:val="20"/>
              </w:rPr>
              <w:t>500 à 999 salariés</w:t>
            </w:r>
          </w:p>
        </w:tc>
        <w:tc>
          <w:tcPr>
            <w:tcW w:w="1152" w:type="dxa"/>
            <w:tcBorders>
              <w:top w:val="nil"/>
              <w:left w:val="single" w:sz="4" w:space="0" w:color="auto"/>
              <w:bottom w:val="nil"/>
              <w:right w:val="dashed"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1 300</w:t>
            </w:r>
          </w:p>
        </w:tc>
        <w:tc>
          <w:tcPr>
            <w:tcW w:w="1241" w:type="dxa"/>
            <w:tcBorders>
              <w:top w:val="nil"/>
              <w:left w:val="dashed" w:sz="4" w:space="0" w:color="auto"/>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1 900</w:t>
            </w:r>
          </w:p>
        </w:tc>
        <w:tc>
          <w:tcPr>
            <w:tcW w:w="963" w:type="dxa"/>
            <w:tcBorders>
              <w:top w:val="nil"/>
              <w:left w:val="nil"/>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1 400</w:t>
            </w:r>
          </w:p>
        </w:tc>
      </w:tr>
      <w:tr w:rsidR="00916EA3" w:rsidRPr="00753AC2" w:rsidTr="00916EA3">
        <w:trPr>
          <w:trHeight w:val="255"/>
        </w:trPr>
        <w:tc>
          <w:tcPr>
            <w:tcW w:w="3713" w:type="dxa"/>
            <w:tcBorders>
              <w:top w:val="nil"/>
              <w:left w:val="single" w:sz="4" w:space="0" w:color="auto"/>
              <w:bottom w:val="single" w:sz="4" w:space="0" w:color="auto"/>
              <w:right w:val="nil"/>
            </w:tcBorders>
            <w:shd w:val="clear" w:color="auto" w:fill="auto"/>
            <w:noWrap/>
            <w:vAlign w:val="center"/>
          </w:tcPr>
          <w:p w:rsidR="00916EA3" w:rsidRPr="00753AC2" w:rsidRDefault="00916EA3" w:rsidP="00916EA3">
            <w:pPr>
              <w:rPr>
                <w:rFonts w:ascii="Arial" w:hAnsi="Arial" w:cs="Arial"/>
                <w:sz w:val="20"/>
                <w:szCs w:val="20"/>
              </w:rPr>
            </w:pPr>
            <w:r w:rsidRPr="00753AC2">
              <w:rPr>
                <w:rFonts w:ascii="Arial" w:hAnsi="Arial" w:cs="Arial"/>
                <w:sz w:val="20"/>
                <w:szCs w:val="20"/>
              </w:rPr>
              <w:t>1 000 salariés ou plus</w:t>
            </w:r>
          </w:p>
        </w:tc>
        <w:tc>
          <w:tcPr>
            <w:tcW w:w="1152" w:type="dxa"/>
            <w:tcBorders>
              <w:top w:val="nil"/>
              <w:left w:val="single" w:sz="4" w:space="0" w:color="auto"/>
              <w:bottom w:val="nil"/>
              <w:right w:val="dashed"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1 000</w:t>
            </w:r>
          </w:p>
        </w:tc>
        <w:tc>
          <w:tcPr>
            <w:tcW w:w="1241" w:type="dxa"/>
            <w:tcBorders>
              <w:top w:val="nil"/>
              <w:left w:val="dashed" w:sz="4" w:space="0" w:color="auto"/>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1 300</w:t>
            </w:r>
          </w:p>
        </w:tc>
        <w:tc>
          <w:tcPr>
            <w:tcW w:w="963" w:type="dxa"/>
            <w:tcBorders>
              <w:top w:val="nil"/>
              <w:left w:val="nil"/>
              <w:bottom w:val="nil"/>
              <w:right w:val="single" w:sz="4" w:space="0" w:color="auto"/>
            </w:tcBorders>
            <w:shd w:val="clear" w:color="auto" w:fill="auto"/>
            <w:noWrap/>
            <w:vAlign w:val="center"/>
          </w:tcPr>
          <w:p w:rsidR="00916EA3" w:rsidRPr="00753AC2" w:rsidRDefault="00916EA3" w:rsidP="00916EA3">
            <w:pPr>
              <w:ind w:right="227"/>
              <w:jc w:val="right"/>
              <w:rPr>
                <w:rFonts w:ascii="Arial" w:hAnsi="Arial" w:cs="Arial"/>
                <w:sz w:val="20"/>
                <w:szCs w:val="20"/>
              </w:rPr>
            </w:pPr>
            <w:r w:rsidRPr="00753AC2">
              <w:rPr>
                <w:rFonts w:ascii="Arial" w:hAnsi="Arial" w:cs="Arial"/>
                <w:sz w:val="20"/>
                <w:szCs w:val="20"/>
              </w:rPr>
              <w:t>1 200</w:t>
            </w:r>
          </w:p>
        </w:tc>
      </w:tr>
      <w:tr w:rsidR="00916EA3" w:rsidRPr="00753AC2" w:rsidTr="00916EA3">
        <w:trPr>
          <w:trHeight w:val="70"/>
        </w:trPr>
        <w:tc>
          <w:tcPr>
            <w:tcW w:w="3713" w:type="dxa"/>
            <w:tcBorders>
              <w:top w:val="single" w:sz="4" w:space="0" w:color="auto"/>
              <w:left w:val="single" w:sz="4" w:space="0" w:color="auto"/>
              <w:bottom w:val="single" w:sz="4" w:space="0" w:color="auto"/>
              <w:right w:val="nil"/>
            </w:tcBorders>
            <w:shd w:val="clear" w:color="auto" w:fill="auto"/>
            <w:noWrap/>
            <w:vAlign w:val="center"/>
          </w:tcPr>
          <w:p w:rsidR="00916EA3" w:rsidRPr="00753AC2" w:rsidRDefault="00916EA3" w:rsidP="00916EA3">
            <w:pPr>
              <w:rPr>
                <w:rFonts w:ascii="Arial" w:hAnsi="Arial" w:cs="Arial"/>
                <w:b/>
                <w:bCs/>
                <w:sz w:val="20"/>
                <w:szCs w:val="20"/>
              </w:rPr>
            </w:pPr>
            <w:r w:rsidRPr="00753AC2">
              <w:rPr>
                <w:rFonts w:ascii="Arial" w:hAnsi="Arial" w:cs="Arial"/>
                <w:b/>
                <w:bCs/>
                <w:sz w:val="20"/>
                <w:szCs w:val="20"/>
              </w:rPr>
              <w:t>Entreprises d’au moins 50 salariés</w:t>
            </w:r>
          </w:p>
        </w:tc>
        <w:tc>
          <w:tcPr>
            <w:tcW w:w="1152" w:type="dxa"/>
            <w:tcBorders>
              <w:top w:val="single" w:sz="4" w:space="0" w:color="auto"/>
              <w:left w:val="single" w:sz="4" w:space="0" w:color="auto"/>
              <w:bottom w:val="single" w:sz="4" w:space="0" w:color="auto"/>
              <w:right w:val="dashed" w:sz="4" w:space="0" w:color="auto"/>
            </w:tcBorders>
            <w:shd w:val="clear" w:color="auto" w:fill="auto"/>
            <w:noWrap/>
            <w:vAlign w:val="center"/>
          </w:tcPr>
          <w:p w:rsidR="00916EA3" w:rsidRPr="00753AC2" w:rsidRDefault="00916EA3" w:rsidP="00916EA3">
            <w:pPr>
              <w:ind w:right="227"/>
              <w:jc w:val="right"/>
              <w:rPr>
                <w:rFonts w:ascii="Arial" w:hAnsi="Arial" w:cs="Arial"/>
                <w:b/>
                <w:sz w:val="20"/>
                <w:szCs w:val="20"/>
              </w:rPr>
            </w:pPr>
            <w:r w:rsidRPr="00753AC2">
              <w:rPr>
                <w:rFonts w:ascii="Arial" w:hAnsi="Arial" w:cs="Arial"/>
                <w:b/>
                <w:sz w:val="20"/>
                <w:szCs w:val="20"/>
              </w:rPr>
              <w:t>1 200</w:t>
            </w:r>
          </w:p>
        </w:tc>
        <w:tc>
          <w:tcPr>
            <w:tcW w:w="1241" w:type="dxa"/>
            <w:tcBorders>
              <w:top w:val="single" w:sz="4" w:space="0" w:color="auto"/>
              <w:left w:val="dashed" w:sz="4" w:space="0" w:color="auto"/>
              <w:bottom w:val="single" w:sz="4" w:space="0" w:color="auto"/>
              <w:right w:val="single" w:sz="4" w:space="0" w:color="auto"/>
            </w:tcBorders>
            <w:shd w:val="clear" w:color="auto" w:fill="auto"/>
            <w:noWrap/>
            <w:vAlign w:val="center"/>
          </w:tcPr>
          <w:p w:rsidR="00916EA3" w:rsidRPr="00753AC2" w:rsidRDefault="00916EA3" w:rsidP="00916EA3">
            <w:pPr>
              <w:ind w:right="227"/>
              <w:jc w:val="right"/>
              <w:rPr>
                <w:rFonts w:ascii="Arial" w:hAnsi="Arial" w:cs="Arial"/>
                <w:b/>
                <w:sz w:val="20"/>
                <w:szCs w:val="20"/>
              </w:rPr>
            </w:pPr>
            <w:r w:rsidRPr="00753AC2">
              <w:rPr>
                <w:rFonts w:ascii="Arial" w:hAnsi="Arial" w:cs="Arial"/>
                <w:b/>
                <w:sz w:val="20"/>
                <w:szCs w:val="20"/>
              </w:rPr>
              <w:t>1 500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916EA3" w:rsidRPr="00753AC2" w:rsidRDefault="00916EA3" w:rsidP="00916EA3">
            <w:pPr>
              <w:ind w:right="227"/>
              <w:jc w:val="right"/>
              <w:rPr>
                <w:rFonts w:ascii="Arial" w:hAnsi="Arial" w:cs="Arial"/>
                <w:b/>
                <w:sz w:val="20"/>
                <w:szCs w:val="20"/>
              </w:rPr>
            </w:pPr>
            <w:r w:rsidRPr="00753AC2">
              <w:rPr>
                <w:rFonts w:ascii="Arial" w:hAnsi="Arial" w:cs="Arial"/>
                <w:b/>
                <w:sz w:val="20"/>
                <w:szCs w:val="20"/>
              </w:rPr>
              <w:t>1 300</w:t>
            </w:r>
          </w:p>
        </w:tc>
      </w:tr>
      <w:tr w:rsidR="00916EA3" w:rsidRPr="00753AC2" w:rsidTr="00916EA3">
        <w:trPr>
          <w:trHeight w:val="70"/>
        </w:trPr>
        <w:tc>
          <w:tcPr>
            <w:tcW w:w="3713" w:type="dxa"/>
            <w:tcBorders>
              <w:top w:val="nil"/>
              <w:left w:val="single" w:sz="4" w:space="0" w:color="auto"/>
              <w:bottom w:val="single" w:sz="4" w:space="0" w:color="auto"/>
              <w:right w:val="nil"/>
            </w:tcBorders>
            <w:shd w:val="clear" w:color="auto" w:fill="auto"/>
            <w:noWrap/>
            <w:vAlign w:val="center"/>
          </w:tcPr>
          <w:p w:rsidR="00916EA3" w:rsidRPr="00753AC2" w:rsidRDefault="00916EA3" w:rsidP="00916EA3">
            <w:pPr>
              <w:rPr>
                <w:rFonts w:ascii="Arial" w:hAnsi="Arial" w:cs="Arial"/>
                <w:b/>
                <w:sz w:val="20"/>
                <w:szCs w:val="20"/>
              </w:rPr>
            </w:pPr>
            <w:r w:rsidRPr="00753AC2">
              <w:rPr>
                <w:rFonts w:ascii="Arial" w:hAnsi="Arial" w:cs="Arial"/>
                <w:b/>
                <w:bCs/>
                <w:sz w:val="20"/>
                <w:szCs w:val="20"/>
              </w:rPr>
              <w:t>Ensemble des entreprises</w:t>
            </w:r>
          </w:p>
        </w:tc>
        <w:tc>
          <w:tcPr>
            <w:tcW w:w="1152" w:type="dxa"/>
            <w:tcBorders>
              <w:top w:val="single" w:sz="4" w:space="0" w:color="auto"/>
              <w:left w:val="single" w:sz="4" w:space="0" w:color="auto"/>
              <w:bottom w:val="single" w:sz="4" w:space="0" w:color="auto"/>
              <w:right w:val="dashed" w:sz="4" w:space="0" w:color="auto"/>
            </w:tcBorders>
            <w:shd w:val="clear" w:color="auto" w:fill="auto"/>
            <w:noWrap/>
            <w:vAlign w:val="center"/>
          </w:tcPr>
          <w:p w:rsidR="00916EA3" w:rsidRPr="00753AC2" w:rsidRDefault="00916EA3" w:rsidP="00916EA3">
            <w:pPr>
              <w:ind w:right="227"/>
              <w:jc w:val="right"/>
              <w:rPr>
                <w:rFonts w:ascii="Arial" w:hAnsi="Arial" w:cs="Arial"/>
                <w:b/>
                <w:sz w:val="20"/>
                <w:szCs w:val="20"/>
              </w:rPr>
            </w:pPr>
            <w:r w:rsidRPr="00753AC2">
              <w:rPr>
                <w:rFonts w:ascii="Arial" w:hAnsi="Arial" w:cs="Arial"/>
                <w:b/>
                <w:sz w:val="20"/>
                <w:szCs w:val="20"/>
              </w:rPr>
              <w:t>1 200</w:t>
            </w:r>
          </w:p>
        </w:tc>
        <w:tc>
          <w:tcPr>
            <w:tcW w:w="1241" w:type="dxa"/>
            <w:tcBorders>
              <w:top w:val="single" w:sz="4" w:space="0" w:color="auto"/>
              <w:left w:val="dashed" w:sz="4" w:space="0" w:color="auto"/>
              <w:bottom w:val="single" w:sz="4" w:space="0" w:color="auto"/>
              <w:right w:val="single" w:sz="4" w:space="0" w:color="auto"/>
            </w:tcBorders>
            <w:shd w:val="clear" w:color="auto" w:fill="auto"/>
            <w:noWrap/>
            <w:vAlign w:val="center"/>
          </w:tcPr>
          <w:p w:rsidR="00916EA3" w:rsidRPr="00753AC2" w:rsidRDefault="00916EA3" w:rsidP="00916EA3">
            <w:pPr>
              <w:ind w:right="227"/>
              <w:jc w:val="right"/>
              <w:rPr>
                <w:rFonts w:ascii="Arial" w:hAnsi="Arial" w:cs="Arial"/>
                <w:b/>
                <w:sz w:val="20"/>
                <w:szCs w:val="20"/>
              </w:rPr>
            </w:pPr>
            <w:r w:rsidRPr="00753AC2">
              <w:rPr>
                <w:rFonts w:ascii="Arial" w:hAnsi="Arial" w:cs="Arial"/>
                <w:b/>
                <w:sz w:val="20"/>
                <w:szCs w:val="20"/>
              </w:rPr>
              <w:t>1 500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916EA3" w:rsidRPr="00753AC2" w:rsidRDefault="00916EA3" w:rsidP="00916EA3">
            <w:pPr>
              <w:ind w:right="227"/>
              <w:jc w:val="right"/>
              <w:rPr>
                <w:rFonts w:ascii="Arial" w:hAnsi="Arial" w:cs="Arial"/>
                <w:b/>
                <w:sz w:val="20"/>
                <w:szCs w:val="20"/>
              </w:rPr>
            </w:pPr>
            <w:r w:rsidRPr="00753AC2">
              <w:rPr>
                <w:rFonts w:ascii="Arial" w:hAnsi="Arial" w:cs="Arial"/>
                <w:b/>
                <w:sz w:val="20"/>
                <w:szCs w:val="20"/>
              </w:rPr>
              <w:t>1 300</w:t>
            </w:r>
          </w:p>
        </w:tc>
      </w:tr>
    </w:tbl>
    <w:p w:rsidR="00916EA3" w:rsidRDefault="00916EA3" w:rsidP="00916EA3">
      <w:pPr>
        <w:autoSpaceDE w:val="0"/>
        <w:autoSpaceDN w:val="0"/>
        <w:adjustRightInd w:val="0"/>
        <w:ind w:firstLine="708"/>
        <w:jc w:val="center"/>
        <w:rPr>
          <w:rFonts w:ascii="Arial" w:hAnsi="Arial" w:cs="Arial"/>
          <w:bCs/>
          <w:sz w:val="20"/>
          <w:szCs w:val="20"/>
        </w:rPr>
      </w:pPr>
    </w:p>
    <w:p w:rsidR="00916EA3" w:rsidRDefault="00916EA3" w:rsidP="00916EA3">
      <w:pPr>
        <w:autoSpaceDE w:val="0"/>
        <w:autoSpaceDN w:val="0"/>
        <w:adjustRightInd w:val="0"/>
        <w:ind w:firstLine="708"/>
        <w:jc w:val="center"/>
        <w:rPr>
          <w:rFonts w:ascii="Arial" w:hAnsi="Arial" w:cs="Arial"/>
          <w:bCs/>
          <w:sz w:val="20"/>
          <w:szCs w:val="20"/>
        </w:rPr>
      </w:pPr>
    </w:p>
    <w:p w:rsidR="00916EA3" w:rsidRDefault="00916EA3" w:rsidP="00916EA3">
      <w:pPr>
        <w:autoSpaceDE w:val="0"/>
        <w:autoSpaceDN w:val="0"/>
        <w:adjustRightInd w:val="0"/>
        <w:ind w:firstLine="708"/>
        <w:jc w:val="center"/>
        <w:rPr>
          <w:rFonts w:ascii="Arial" w:hAnsi="Arial" w:cs="Arial"/>
          <w:bCs/>
          <w:sz w:val="20"/>
          <w:szCs w:val="20"/>
        </w:rPr>
      </w:pPr>
    </w:p>
    <w:p w:rsidR="00916EA3" w:rsidRDefault="00916EA3" w:rsidP="00916EA3">
      <w:pPr>
        <w:autoSpaceDE w:val="0"/>
        <w:autoSpaceDN w:val="0"/>
        <w:adjustRightInd w:val="0"/>
        <w:ind w:firstLine="708"/>
        <w:jc w:val="center"/>
        <w:rPr>
          <w:rFonts w:ascii="Arial" w:hAnsi="Arial" w:cs="Arial"/>
          <w:bCs/>
          <w:sz w:val="20"/>
          <w:szCs w:val="20"/>
        </w:rPr>
      </w:pPr>
    </w:p>
    <w:p w:rsidR="00916EA3" w:rsidRDefault="00916EA3" w:rsidP="00916EA3">
      <w:pPr>
        <w:autoSpaceDE w:val="0"/>
        <w:autoSpaceDN w:val="0"/>
        <w:adjustRightInd w:val="0"/>
        <w:ind w:firstLine="708"/>
        <w:jc w:val="center"/>
        <w:rPr>
          <w:rFonts w:ascii="Arial" w:hAnsi="Arial" w:cs="Arial"/>
          <w:bCs/>
          <w:sz w:val="20"/>
          <w:szCs w:val="20"/>
        </w:rPr>
      </w:pPr>
    </w:p>
    <w:p w:rsidR="00916EA3" w:rsidRDefault="00916EA3" w:rsidP="00916EA3">
      <w:pPr>
        <w:autoSpaceDE w:val="0"/>
        <w:autoSpaceDN w:val="0"/>
        <w:adjustRightInd w:val="0"/>
        <w:ind w:firstLine="708"/>
        <w:jc w:val="center"/>
        <w:rPr>
          <w:rFonts w:ascii="Arial" w:hAnsi="Arial" w:cs="Arial"/>
          <w:bCs/>
          <w:sz w:val="20"/>
          <w:szCs w:val="20"/>
        </w:rPr>
      </w:pPr>
    </w:p>
    <w:p w:rsidR="00916EA3" w:rsidRDefault="00916EA3" w:rsidP="00916EA3">
      <w:pPr>
        <w:autoSpaceDE w:val="0"/>
        <w:autoSpaceDN w:val="0"/>
        <w:adjustRightInd w:val="0"/>
        <w:ind w:firstLine="708"/>
        <w:jc w:val="center"/>
        <w:rPr>
          <w:rFonts w:ascii="Arial" w:hAnsi="Arial" w:cs="Arial"/>
          <w:bCs/>
          <w:sz w:val="20"/>
          <w:szCs w:val="20"/>
        </w:rPr>
      </w:pPr>
    </w:p>
    <w:p w:rsidR="00916EA3" w:rsidRDefault="00916EA3" w:rsidP="00916EA3">
      <w:pPr>
        <w:autoSpaceDE w:val="0"/>
        <w:autoSpaceDN w:val="0"/>
        <w:adjustRightInd w:val="0"/>
        <w:ind w:firstLine="708"/>
        <w:jc w:val="center"/>
        <w:rPr>
          <w:rFonts w:ascii="Arial" w:hAnsi="Arial" w:cs="Arial"/>
          <w:bCs/>
          <w:sz w:val="20"/>
          <w:szCs w:val="20"/>
        </w:rPr>
      </w:pPr>
    </w:p>
    <w:p w:rsidR="00916EA3" w:rsidRDefault="00916EA3" w:rsidP="00916EA3">
      <w:pPr>
        <w:autoSpaceDE w:val="0"/>
        <w:autoSpaceDN w:val="0"/>
        <w:adjustRightInd w:val="0"/>
        <w:ind w:firstLine="708"/>
        <w:jc w:val="center"/>
        <w:rPr>
          <w:rFonts w:ascii="Arial" w:hAnsi="Arial" w:cs="Arial"/>
          <w:bCs/>
          <w:sz w:val="20"/>
          <w:szCs w:val="20"/>
        </w:rPr>
      </w:pPr>
    </w:p>
    <w:p w:rsidR="00916EA3" w:rsidRDefault="00916EA3" w:rsidP="00916EA3">
      <w:pPr>
        <w:autoSpaceDE w:val="0"/>
        <w:autoSpaceDN w:val="0"/>
        <w:adjustRightInd w:val="0"/>
        <w:ind w:firstLine="708"/>
        <w:jc w:val="center"/>
        <w:rPr>
          <w:rFonts w:ascii="Arial" w:hAnsi="Arial" w:cs="Arial"/>
          <w:bCs/>
          <w:sz w:val="20"/>
          <w:szCs w:val="20"/>
        </w:rPr>
      </w:pPr>
    </w:p>
    <w:p w:rsidR="00916EA3" w:rsidRDefault="00916EA3" w:rsidP="00916EA3">
      <w:pPr>
        <w:autoSpaceDE w:val="0"/>
        <w:autoSpaceDN w:val="0"/>
        <w:adjustRightInd w:val="0"/>
        <w:ind w:firstLine="708"/>
        <w:jc w:val="center"/>
        <w:rPr>
          <w:rFonts w:ascii="Arial" w:hAnsi="Arial" w:cs="Arial"/>
          <w:bCs/>
          <w:sz w:val="20"/>
          <w:szCs w:val="20"/>
        </w:rPr>
      </w:pPr>
    </w:p>
    <w:p w:rsidR="00916EA3" w:rsidRPr="00753AC2" w:rsidRDefault="00916EA3" w:rsidP="009014A4">
      <w:pPr>
        <w:autoSpaceDE w:val="0"/>
        <w:autoSpaceDN w:val="0"/>
        <w:adjustRightInd w:val="0"/>
        <w:spacing w:after="0" w:line="240" w:lineRule="auto"/>
        <w:ind w:firstLine="851"/>
        <w:jc w:val="both"/>
        <w:rPr>
          <w:rFonts w:ascii="Arial" w:hAnsi="Arial" w:cs="Arial"/>
          <w:bCs/>
          <w:i/>
          <w:sz w:val="16"/>
          <w:szCs w:val="16"/>
        </w:rPr>
      </w:pPr>
      <w:r w:rsidRPr="00753AC2">
        <w:rPr>
          <w:rFonts w:ascii="Arial" w:hAnsi="Arial" w:cs="Arial"/>
          <w:bCs/>
          <w:i/>
          <w:sz w:val="16"/>
          <w:szCs w:val="16"/>
        </w:rPr>
        <w:t>Champ : entreprises de 10 salariés ou plus qui ont distribué une prime de participation</w:t>
      </w:r>
    </w:p>
    <w:p w:rsidR="00916EA3" w:rsidRPr="009014A4" w:rsidRDefault="00916EA3" w:rsidP="009014A4">
      <w:pPr>
        <w:autoSpaceDE w:val="0"/>
        <w:autoSpaceDN w:val="0"/>
        <w:adjustRightInd w:val="0"/>
        <w:spacing w:after="0" w:line="240" w:lineRule="auto"/>
        <w:ind w:firstLine="851"/>
        <w:jc w:val="both"/>
        <w:rPr>
          <w:rFonts w:ascii="Arial" w:hAnsi="Arial" w:cs="Arial"/>
          <w:bCs/>
          <w:i/>
          <w:sz w:val="16"/>
          <w:szCs w:val="16"/>
        </w:rPr>
      </w:pPr>
      <w:r w:rsidRPr="00753AC2">
        <w:rPr>
          <w:rFonts w:ascii="Arial" w:hAnsi="Arial" w:cs="Arial"/>
          <w:bCs/>
          <w:i/>
          <w:sz w:val="16"/>
          <w:szCs w:val="16"/>
        </w:rPr>
        <w:t>Source : DARES, enquêtes Acemo-PIPA 2016</w:t>
      </w:r>
    </w:p>
    <w:p w:rsidR="00042414" w:rsidRDefault="00042414" w:rsidP="00916EA3">
      <w:pPr>
        <w:autoSpaceDE w:val="0"/>
        <w:autoSpaceDN w:val="0"/>
        <w:adjustRightInd w:val="0"/>
        <w:jc w:val="center"/>
        <w:rPr>
          <w:rFonts w:ascii="ComicSansMS,Bold" w:hAnsi="ComicSansMS,Bold" w:cs="ComicSansMS,Bold"/>
          <w:b/>
          <w:bCs/>
          <w:sz w:val="28"/>
          <w:szCs w:val="28"/>
        </w:rPr>
      </w:pPr>
    </w:p>
    <w:p w:rsidR="00F85D64" w:rsidRDefault="00F85D64" w:rsidP="00916EA3">
      <w:pPr>
        <w:autoSpaceDE w:val="0"/>
        <w:autoSpaceDN w:val="0"/>
        <w:adjustRightInd w:val="0"/>
        <w:jc w:val="center"/>
        <w:rPr>
          <w:rFonts w:ascii="ComicSansMS,Bold" w:hAnsi="ComicSansMS,Bold" w:cs="ComicSansMS,Bold"/>
          <w:b/>
          <w:bCs/>
          <w:sz w:val="28"/>
          <w:szCs w:val="28"/>
        </w:rPr>
      </w:pPr>
    </w:p>
    <w:p w:rsidR="00916EA3" w:rsidRDefault="00916EA3" w:rsidP="00916EA3">
      <w:pPr>
        <w:autoSpaceDE w:val="0"/>
        <w:autoSpaceDN w:val="0"/>
        <w:adjustRightInd w:val="0"/>
        <w:jc w:val="center"/>
        <w:rPr>
          <w:rFonts w:ascii="ComicSansMS,Bold" w:hAnsi="ComicSansMS,Bold" w:cs="ComicSansMS,Bold"/>
          <w:b/>
          <w:bCs/>
          <w:sz w:val="28"/>
          <w:szCs w:val="28"/>
        </w:rPr>
      </w:pPr>
      <w:r>
        <w:rPr>
          <w:rFonts w:ascii="ComicSansMS,Bold" w:hAnsi="ComicSansMS,Bold" w:cs="ComicSansMS,Bold"/>
          <w:b/>
          <w:bCs/>
          <w:sz w:val="28"/>
          <w:szCs w:val="28"/>
        </w:rPr>
        <w:t>Fiche 2 : Profil des entreprises qui ont recours à une</w:t>
      </w:r>
      <w:r w:rsidRPr="00E77835">
        <w:rPr>
          <w:rFonts w:ascii="ComicSansMS,Bold" w:hAnsi="ComicSansMS,Bold" w:cs="ComicSansMS,Bold"/>
          <w:b/>
          <w:bCs/>
          <w:sz w:val="28"/>
          <w:szCs w:val="28"/>
        </w:rPr>
        <w:t xml:space="preserve"> formule dérogatoire</w:t>
      </w:r>
      <w:r>
        <w:rPr>
          <w:rFonts w:ascii="ComicSansMS,Bold" w:hAnsi="ComicSansMS,Bold" w:cs="ComicSansMS,Bold"/>
          <w:b/>
          <w:bCs/>
          <w:sz w:val="28"/>
          <w:szCs w:val="28"/>
        </w:rPr>
        <w:t xml:space="preserve"> dans le calcul de la participation</w:t>
      </w:r>
    </w:p>
    <w:p w:rsidR="00916EA3" w:rsidRDefault="00916EA3" w:rsidP="00916EA3">
      <w:pPr>
        <w:autoSpaceDE w:val="0"/>
        <w:autoSpaceDN w:val="0"/>
        <w:adjustRightInd w:val="0"/>
        <w:jc w:val="both"/>
        <w:rPr>
          <w:rFonts w:ascii="Arial" w:hAnsi="Arial" w:cs="Arial"/>
          <w:sz w:val="20"/>
          <w:szCs w:val="20"/>
        </w:rPr>
      </w:pPr>
      <w:r w:rsidRPr="00E77835">
        <w:rPr>
          <w:rFonts w:ascii="Arial" w:hAnsi="Arial" w:cs="Arial"/>
          <w:sz w:val="20"/>
          <w:szCs w:val="20"/>
        </w:rPr>
        <w:t xml:space="preserve">Parmi les entreprises </w:t>
      </w:r>
      <w:r>
        <w:rPr>
          <w:rFonts w:ascii="Arial" w:hAnsi="Arial" w:cs="Arial"/>
          <w:sz w:val="20"/>
          <w:szCs w:val="20"/>
        </w:rPr>
        <w:t>de 10 salariés ou plus qui ont eu recours à une formule dérogatoire en 2016</w:t>
      </w:r>
      <w:r w:rsidRPr="00E77835">
        <w:rPr>
          <w:rFonts w:ascii="Arial" w:hAnsi="Arial" w:cs="Arial"/>
          <w:sz w:val="20"/>
          <w:szCs w:val="20"/>
        </w:rPr>
        <w:t xml:space="preserve">, </w:t>
      </w:r>
      <w:r>
        <w:rPr>
          <w:rFonts w:ascii="Arial" w:hAnsi="Arial" w:cs="Arial"/>
          <w:sz w:val="20"/>
          <w:szCs w:val="20"/>
        </w:rPr>
        <w:t xml:space="preserve">un tiers se situe dans les </w:t>
      </w:r>
      <w:r w:rsidRPr="00E77835">
        <w:rPr>
          <w:rFonts w:ascii="Arial" w:hAnsi="Arial" w:cs="Arial"/>
          <w:sz w:val="20"/>
          <w:szCs w:val="20"/>
        </w:rPr>
        <w:t>entreprises de 10 à 49 salariés, pour lesquelles la participation est un dispositif facultatif</w:t>
      </w:r>
      <w:r>
        <w:rPr>
          <w:rFonts w:ascii="Arial" w:hAnsi="Arial" w:cs="Arial"/>
          <w:sz w:val="20"/>
          <w:szCs w:val="20"/>
        </w:rPr>
        <w:t xml:space="preserve"> (tableau 1). </w:t>
      </w:r>
      <w:r w:rsidRPr="00E77835">
        <w:rPr>
          <w:rFonts w:ascii="Arial" w:hAnsi="Arial" w:cs="Arial"/>
          <w:sz w:val="20"/>
          <w:szCs w:val="20"/>
        </w:rPr>
        <w:t xml:space="preserve">Parmi les entreprises </w:t>
      </w:r>
      <w:r>
        <w:rPr>
          <w:rFonts w:ascii="Arial" w:hAnsi="Arial" w:cs="Arial"/>
          <w:sz w:val="20"/>
          <w:szCs w:val="20"/>
        </w:rPr>
        <w:t>de 50 salariés ou plus qui ont eu recours à une formule dérogatoire en 2016, six entreprises sur dix avaient moins de 250 salariés.</w:t>
      </w:r>
    </w:p>
    <w:p w:rsidR="00916EA3" w:rsidRDefault="00916EA3" w:rsidP="00916EA3">
      <w:pPr>
        <w:autoSpaceDE w:val="0"/>
        <w:autoSpaceDN w:val="0"/>
        <w:adjustRightInd w:val="0"/>
        <w:jc w:val="both"/>
        <w:rPr>
          <w:rFonts w:ascii="Arial" w:hAnsi="Arial" w:cs="Arial"/>
          <w:bCs/>
          <w:sz w:val="20"/>
          <w:szCs w:val="20"/>
        </w:rPr>
      </w:pPr>
      <w:r>
        <w:rPr>
          <w:rFonts w:ascii="Arial" w:hAnsi="Arial" w:cs="Arial"/>
          <w:sz w:val="20"/>
          <w:szCs w:val="20"/>
        </w:rPr>
        <w:t xml:space="preserve">Au sein des entreprises pour lesquelles la participation est obligatoire (50 salariés ou plus), la part d’entreprises qui ont recours à une formule dérogatoire augmente avec la taille de l’entreprise : elle s’étage de 5 % dans les entreprises de 50 à 99 salariés à 25 % dans les entreprises de 1 000 salariés ou plus. </w:t>
      </w:r>
      <w:r>
        <w:rPr>
          <w:rFonts w:ascii="Arial" w:hAnsi="Arial" w:cs="Arial"/>
          <w:bCs/>
          <w:sz w:val="20"/>
          <w:szCs w:val="20"/>
        </w:rPr>
        <w:t>L</w:t>
      </w:r>
      <w:r w:rsidRPr="00E77835">
        <w:rPr>
          <w:rFonts w:ascii="Arial" w:hAnsi="Arial" w:cs="Arial"/>
          <w:bCs/>
          <w:sz w:val="20"/>
          <w:szCs w:val="20"/>
        </w:rPr>
        <w:t xml:space="preserve">es entreprises ayant opté pour une formule dérogatoire </w:t>
      </w:r>
      <w:r>
        <w:rPr>
          <w:rFonts w:ascii="Arial" w:hAnsi="Arial" w:cs="Arial"/>
          <w:bCs/>
          <w:sz w:val="20"/>
          <w:szCs w:val="20"/>
        </w:rPr>
        <w:t>se concentrent dans les secteurs de la f</w:t>
      </w:r>
      <w:r w:rsidRPr="0091523F">
        <w:rPr>
          <w:rFonts w:ascii="Arial" w:hAnsi="Arial" w:cs="Arial"/>
          <w:bCs/>
          <w:sz w:val="20"/>
          <w:szCs w:val="20"/>
        </w:rPr>
        <w:t>abrication d’autres produits industriels</w:t>
      </w:r>
      <w:r>
        <w:rPr>
          <w:rFonts w:ascii="Arial" w:hAnsi="Arial" w:cs="Arial"/>
          <w:bCs/>
          <w:sz w:val="20"/>
          <w:szCs w:val="20"/>
        </w:rPr>
        <w:t>, dans les a</w:t>
      </w:r>
      <w:r w:rsidRPr="002C70DB">
        <w:rPr>
          <w:rFonts w:ascii="Arial" w:hAnsi="Arial" w:cs="Arial"/>
          <w:bCs/>
          <w:sz w:val="20"/>
          <w:szCs w:val="20"/>
        </w:rPr>
        <w:t>ctivités spécialisées, scientifiques et techniques et activités de services</w:t>
      </w:r>
      <w:r>
        <w:rPr>
          <w:rFonts w:ascii="Arial" w:hAnsi="Arial" w:cs="Arial"/>
          <w:bCs/>
          <w:sz w:val="20"/>
          <w:szCs w:val="20"/>
        </w:rPr>
        <w:t xml:space="preserve"> et dans le c</w:t>
      </w:r>
      <w:r w:rsidRPr="0091523F">
        <w:rPr>
          <w:rFonts w:ascii="Arial" w:hAnsi="Arial" w:cs="Arial"/>
          <w:bCs/>
          <w:sz w:val="20"/>
          <w:szCs w:val="20"/>
        </w:rPr>
        <w:t>ommerce, réparation d’automobiles et de motocycles</w:t>
      </w:r>
      <w:r>
        <w:rPr>
          <w:rFonts w:ascii="Arial" w:hAnsi="Arial" w:cs="Arial"/>
          <w:bCs/>
          <w:sz w:val="20"/>
          <w:szCs w:val="20"/>
        </w:rPr>
        <w:t xml:space="preserve"> en 2016 </w:t>
      </w:r>
      <w:r w:rsidRPr="00E77835">
        <w:rPr>
          <w:rFonts w:ascii="Arial" w:hAnsi="Arial" w:cs="Arial"/>
          <w:bCs/>
          <w:sz w:val="20"/>
          <w:szCs w:val="20"/>
        </w:rPr>
        <w:t>(</w:t>
      </w:r>
      <w:r>
        <w:rPr>
          <w:rFonts w:ascii="Arial" w:hAnsi="Arial" w:cs="Arial"/>
          <w:bCs/>
          <w:sz w:val="20"/>
          <w:szCs w:val="20"/>
        </w:rPr>
        <w:t>respectivement 23 %</w:t>
      </w:r>
      <w:r w:rsidRPr="00E77835">
        <w:rPr>
          <w:rFonts w:ascii="Arial" w:hAnsi="Arial" w:cs="Arial"/>
          <w:bCs/>
          <w:sz w:val="20"/>
          <w:szCs w:val="20"/>
        </w:rPr>
        <w:t>,</w:t>
      </w:r>
      <w:r>
        <w:rPr>
          <w:rFonts w:ascii="Arial" w:hAnsi="Arial" w:cs="Arial"/>
          <w:bCs/>
          <w:sz w:val="20"/>
          <w:szCs w:val="20"/>
        </w:rPr>
        <w:t xml:space="preserve"> 15 % et 14 %,</w:t>
      </w:r>
      <w:r w:rsidRPr="00E77835">
        <w:rPr>
          <w:rFonts w:ascii="Arial" w:hAnsi="Arial" w:cs="Arial"/>
          <w:bCs/>
          <w:sz w:val="20"/>
          <w:szCs w:val="20"/>
        </w:rPr>
        <w:t xml:space="preserve"> tableau 2).</w:t>
      </w:r>
      <w:r>
        <w:rPr>
          <w:rFonts w:ascii="Arial" w:hAnsi="Arial" w:cs="Arial"/>
          <w:bCs/>
          <w:sz w:val="20"/>
          <w:szCs w:val="20"/>
        </w:rPr>
        <w:t xml:space="preserve"> Dans les deux premiers secteurs d’activité, la proportion d’entreprises qui ont eu recours à une formule dérogatoire est supérieure à la moyenne alors que ce n’est pas le cas dans le dernier secteur (12 %, 9 % et 5 % contre 8 % en moyenne).</w:t>
      </w:r>
    </w:p>
    <w:p w:rsidR="00916EA3" w:rsidRDefault="00916EA3" w:rsidP="00916EA3">
      <w:pPr>
        <w:autoSpaceDE w:val="0"/>
        <w:autoSpaceDN w:val="0"/>
        <w:adjustRightInd w:val="0"/>
        <w:jc w:val="both"/>
        <w:rPr>
          <w:rFonts w:ascii="Arial" w:hAnsi="Arial" w:cs="Arial"/>
          <w:bCs/>
          <w:sz w:val="20"/>
          <w:szCs w:val="20"/>
        </w:rPr>
      </w:pPr>
      <w:r>
        <w:rPr>
          <w:rFonts w:ascii="Arial" w:hAnsi="Arial" w:cs="Arial"/>
          <w:bCs/>
          <w:sz w:val="20"/>
          <w:szCs w:val="20"/>
        </w:rPr>
        <w:t>Le recours à la formule dérogatoire est indépendant de la rémunération annuelle moyenne des entreprises de 50 salariés ou plus. En effet, les entreprises versant de la participation sur la base d’une formule dérogatoire se répartissent de façon homogène quelle que soit la rémunération annuelle moyenne de l’entreprise : 30 % sont en-dessous du troisième décile, 40 % entre les troisième et septième déciles et 30 % au-dessus de septième décile (tableau 3).</w:t>
      </w:r>
    </w:p>
    <w:p w:rsidR="00916EA3" w:rsidRDefault="00916EA3" w:rsidP="00916EA3">
      <w:pPr>
        <w:autoSpaceDE w:val="0"/>
        <w:autoSpaceDN w:val="0"/>
        <w:adjustRightInd w:val="0"/>
        <w:jc w:val="center"/>
        <w:rPr>
          <w:rFonts w:ascii="Arial" w:hAnsi="Arial" w:cs="Arial"/>
          <w:b/>
          <w:bCs/>
          <w:sz w:val="20"/>
          <w:szCs w:val="20"/>
        </w:rPr>
      </w:pPr>
    </w:p>
    <w:p w:rsidR="00916EA3" w:rsidRDefault="00916EA3" w:rsidP="00916EA3">
      <w:pPr>
        <w:autoSpaceDE w:val="0"/>
        <w:autoSpaceDN w:val="0"/>
        <w:adjustRightInd w:val="0"/>
        <w:jc w:val="center"/>
        <w:rPr>
          <w:rFonts w:ascii="Arial" w:hAnsi="Arial" w:cs="Arial"/>
          <w:b/>
          <w:bCs/>
          <w:sz w:val="20"/>
          <w:szCs w:val="20"/>
        </w:rPr>
      </w:pPr>
      <w:r w:rsidRPr="00192391">
        <w:rPr>
          <w:rFonts w:ascii="Arial" w:hAnsi="Arial" w:cs="Arial"/>
          <w:b/>
          <w:bCs/>
          <w:sz w:val="20"/>
          <w:szCs w:val="20"/>
        </w:rPr>
        <w:t xml:space="preserve">Tableau 1 : </w:t>
      </w:r>
      <w:r>
        <w:rPr>
          <w:rFonts w:ascii="Arial" w:hAnsi="Arial" w:cs="Arial"/>
          <w:b/>
          <w:bCs/>
          <w:sz w:val="20"/>
          <w:szCs w:val="20"/>
        </w:rPr>
        <w:t xml:space="preserve">Répartition des </w:t>
      </w:r>
      <w:r w:rsidRPr="00A74710">
        <w:rPr>
          <w:rFonts w:ascii="Arial" w:hAnsi="Arial" w:cs="Arial"/>
          <w:b/>
          <w:bCs/>
          <w:sz w:val="20"/>
          <w:szCs w:val="20"/>
        </w:rPr>
        <w:t>ent</w:t>
      </w:r>
      <w:r>
        <w:rPr>
          <w:rFonts w:ascii="Arial" w:hAnsi="Arial" w:cs="Arial"/>
          <w:b/>
          <w:bCs/>
          <w:sz w:val="20"/>
          <w:szCs w:val="20"/>
        </w:rPr>
        <w:t>reprises ayant eu recours à une formule dérogatoire</w:t>
      </w:r>
    </w:p>
    <w:p w:rsidR="00916EA3" w:rsidRDefault="00916EA3" w:rsidP="00916EA3">
      <w:pPr>
        <w:autoSpaceDE w:val="0"/>
        <w:autoSpaceDN w:val="0"/>
        <w:adjustRightInd w:val="0"/>
        <w:jc w:val="center"/>
        <w:rPr>
          <w:rFonts w:ascii="Arial" w:hAnsi="Arial" w:cs="Arial"/>
          <w:b/>
          <w:bCs/>
          <w:sz w:val="20"/>
          <w:szCs w:val="20"/>
        </w:rPr>
      </w:pPr>
      <w:r w:rsidRPr="00A74710">
        <w:rPr>
          <w:rFonts w:ascii="Arial" w:hAnsi="Arial" w:cs="Arial"/>
          <w:b/>
          <w:bCs/>
          <w:sz w:val="20"/>
          <w:szCs w:val="20"/>
        </w:rPr>
        <w:t>par taille d'entreprise</w:t>
      </w:r>
      <w:r>
        <w:rPr>
          <w:rFonts w:ascii="Arial" w:hAnsi="Arial" w:cs="Arial"/>
          <w:b/>
          <w:bCs/>
          <w:sz w:val="20"/>
          <w:szCs w:val="20"/>
        </w:rPr>
        <w:t xml:space="preserve"> en 2016</w:t>
      </w:r>
    </w:p>
    <w:tbl>
      <w:tblPr>
        <w:tblW w:w="8153" w:type="dxa"/>
        <w:jc w:val="center"/>
        <w:tblInd w:w="55" w:type="dxa"/>
        <w:tblCellMar>
          <w:left w:w="70" w:type="dxa"/>
          <w:right w:w="70" w:type="dxa"/>
        </w:tblCellMar>
        <w:tblLook w:val="04A0" w:firstRow="1" w:lastRow="0" w:firstColumn="1" w:lastColumn="0" w:noHBand="0" w:noVBand="1"/>
      </w:tblPr>
      <w:tblGrid>
        <w:gridCol w:w="3086"/>
        <w:gridCol w:w="1825"/>
        <w:gridCol w:w="1631"/>
        <w:gridCol w:w="1611"/>
      </w:tblGrid>
      <w:tr w:rsidR="00916EA3" w:rsidTr="00916EA3">
        <w:trPr>
          <w:trHeight w:val="300"/>
          <w:jc w:val="center"/>
        </w:trPr>
        <w:tc>
          <w:tcPr>
            <w:tcW w:w="3086" w:type="dxa"/>
            <w:vMerge w:val="restart"/>
            <w:tcBorders>
              <w:top w:val="single" w:sz="4" w:space="0" w:color="auto"/>
              <w:left w:val="single" w:sz="4" w:space="0" w:color="auto"/>
              <w:right w:val="nil"/>
            </w:tcBorders>
            <w:shd w:val="clear" w:color="auto" w:fill="auto"/>
            <w:noWrap/>
            <w:vAlign w:val="center"/>
          </w:tcPr>
          <w:p w:rsidR="00916EA3" w:rsidRDefault="00916EA3" w:rsidP="00916EA3">
            <w:pPr>
              <w:jc w:val="center"/>
              <w:rPr>
                <w:rFonts w:ascii="Calibri" w:hAnsi="Calibri" w:cs="Calibri"/>
                <w:color w:val="000000"/>
              </w:rPr>
            </w:pPr>
            <w:r>
              <w:rPr>
                <w:rFonts w:ascii="Calibri" w:hAnsi="Calibri" w:cs="Calibri"/>
                <w:color w:val="000000"/>
              </w:rPr>
              <w:t>Taille de l'entreprise</w:t>
            </w:r>
          </w:p>
        </w:tc>
        <w:tc>
          <w:tcPr>
            <w:tcW w:w="1825" w:type="dxa"/>
            <w:vMerge w:val="restart"/>
            <w:tcBorders>
              <w:top w:val="single" w:sz="4" w:space="0" w:color="auto"/>
              <w:left w:val="single" w:sz="4" w:space="0" w:color="auto"/>
              <w:right w:val="single" w:sz="4" w:space="0" w:color="auto"/>
            </w:tcBorders>
            <w:vAlign w:val="center"/>
          </w:tcPr>
          <w:p w:rsidR="00916EA3" w:rsidRDefault="00916EA3" w:rsidP="00916EA3">
            <w:pPr>
              <w:jc w:val="center"/>
              <w:rPr>
                <w:rFonts w:ascii="Calibri" w:hAnsi="Calibri" w:cs="Calibri"/>
                <w:color w:val="000000"/>
              </w:rPr>
            </w:pPr>
            <w:r>
              <w:rPr>
                <w:rFonts w:ascii="Calibri" w:hAnsi="Calibri" w:cs="Calibri"/>
                <w:color w:val="000000"/>
              </w:rPr>
              <w:t>Proportion d’entreprises versant de la participation sur la base d’une formule dérogatoire (%)</w:t>
            </w:r>
          </w:p>
        </w:tc>
        <w:tc>
          <w:tcPr>
            <w:tcW w:w="32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6EA3" w:rsidRDefault="00916EA3" w:rsidP="00916EA3">
            <w:pPr>
              <w:jc w:val="center"/>
              <w:rPr>
                <w:rFonts w:ascii="Calibri" w:hAnsi="Calibri" w:cs="Calibri"/>
                <w:color w:val="000000"/>
              </w:rPr>
            </w:pPr>
            <w:r>
              <w:rPr>
                <w:rFonts w:ascii="Calibri" w:hAnsi="Calibri" w:cs="Calibri"/>
                <w:color w:val="000000"/>
              </w:rPr>
              <w:t>Répartition des entreprises versant de la participation sur la base d’une formule dérogatoire</w:t>
            </w:r>
          </w:p>
        </w:tc>
      </w:tr>
      <w:tr w:rsidR="00916EA3" w:rsidTr="00916EA3">
        <w:trPr>
          <w:trHeight w:val="300"/>
          <w:jc w:val="center"/>
        </w:trPr>
        <w:tc>
          <w:tcPr>
            <w:tcW w:w="3086" w:type="dxa"/>
            <w:vMerge/>
            <w:tcBorders>
              <w:left w:val="single" w:sz="4" w:space="0" w:color="auto"/>
              <w:bottom w:val="single" w:sz="4" w:space="0" w:color="auto"/>
              <w:right w:val="nil"/>
            </w:tcBorders>
            <w:shd w:val="clear" w:color="auto" w:fill="auto"/>
            <w:noWrap/>
            <w:vAlign w:val="center"/>
            <w:hideMark/>
          </w:tcPr>
          <w:p w:rsidR="00916EA3" w:rsidRDefault="00916EA3" w:rsidP="00916EA3">
            <w:pPr>
              <w:jc w:val="center"/>
              <w:rPr>
                <w:rFonts w:ascii="Calibri" w:hAnsi="Calibri" w:cs="Calibri"/>
                <w:color w:val="000000"/>
              </w:rPr>
            </w:pPr>
          </w:p>
        </w:tc>
        <w:tc>
          <w:tcPr>
            <w:tcW w:w="1825" w:type="dxa"/>
            <w:vMerge/>
            <w:tcBorders>
              <w:left w:val="single" w:sz="4" w:space="0" w:color="auto"/>
              <w:bottom w:val="single" w:sz="4" w:space="0" w:color="auto"/>
              <w:right w:val="single" w:sz="4" w:space="0" w:color="auto"/>
            </w:tcBorders>
            <w:vAlign w:val="center"/>
          </w:tcPr>
          <w:p w:rsidR="00916EA3" w:rsidRDefault="00916EA3" w:rsidP="00916EA3">
            <w:pPr>
              <w:jc w:val="center"/>
              <w:rPr>
                <w:rFonts w:ascii="Calibri" w:hAnsi="Calibri" w:cs="Calibri"/>
                <w:color w:val="000000"/>
              </w:rPr>
            </w:pP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EA3" w:rsidRDefault="00916EA3" w:rsidP="00916EA3">
            <w:pPr>
              <w:jc w:val="center"/>
              <w:rPr>
                <w:rFonts w:ascii="Calibri" w:hAnsi="Calibri" w:cs="Calibri"/>
                <w:color w:val="000000"/>
              </w:rPr>
            </w:pPr>
            <w:r>
              <w:rPr>
                <w:rFonts w:ascii="Calibri" w:hAnsi="Calibri" w:cs="Calibri"/>
                <w:color w:val="000000"/>
              </w:rPr>
              <w:t>parmi les entreprises de 10 salariés ou plus (%)</w:t>
            </w:r>
          </w:p>
        </w:tc>
        <w:tc>
          <w:tcPr>
            <w:tcW w:w="1611" w:type="dxa"/>
            <w:tcBorders>
              <w:top w:val="single" w:sz="4" w:space="0" w:color="auto"/>
              <w:left w:val="single" w:sz="4" w:space="0" w:color="auto"/>
              <w:bottom w:val="single" w:sz="4" w:space="0" w:color="auto"/>
              <w:right w:val="single" w:sz="4" w:space="0" w:color="auto"/>
            </w:tcBorders>
            <w:vAlign w:val="center"/>
          </w:tcPr>
          <w:p w:rsidR="00916EA3" w:rsidRDefault="00916EA3" w:rsidP="00916EA3">
            <w:pPr>
              <w:jc w:val="center"/>
              <w:rPr>
                <w:rFonts w:ascii="Calibri" w:hAnsi="Calibri" w:cs="Calibri"/>
                <w:color w:val="000000"/>
              </w:rPr>
            </w:pPr>
            <w:r>
              <w:rPr>
                <w:rFonts w:ascii="Calibri" w:hAnsi="Calibri" w:cs="Calibri"/>
                <w:color w:val="000000"/>
              </w:rPr>
              <w:t>parmi les entreprises de 50 salariés ou plus (%)</w:t>
            </w:r>
          </w:p>
        </w:tc>
      </w:tr>
      <w:tr w:rsidR="00916EA3" w:rsidTr="00916EA3">
        <w:trPr>
          <w:trHeight w:val="300"/>
          <w:jc w:val="center"/>
        </w:trPr>
        <w:tc>
          <w:tcPr>
            <w:tcW w:w="3086" w:type="dxa"/>
            <w:tcBorders>
              <w:top w:val="single" w:sz="4" w:space="0" w:color="auto"/>
              <w:left w:val="single" w:sz="4" w:space="0" w:color="auto"/>
              <w:bottom w:val="dashSmallGap" w:sz="4" w:space="0" w:color="auto"/>
              <w:right w:val="nil"/>
            </w:tcBorders>
            <w:shd w:val="clear" w:color="auto" w:fill="auto"/>
            <w:noWrap/>
            <w:vAlign w:val="center"/>
            <w:hideMark/>
          </w:tcPr>
          <w:p w:rsidR="00916EA3" w:rsidRDefault="00916EA3" w:rsidP="00916EA3">
            <w:pPr>
              <w:rPr>
                <w:rFonts w:ascii="Calibri" w:hAnsi="Calibri" w:cs="Calibri"/>
                <w:color w:val="000000"/>
              </w:rPr>
            </w:pPr>
            <w:r>
              <w:rPr>
                <w:rFonts w:ascii="Calibri" w:hAnsi="Calibri" w:cs="Calibri"/>
                <w:color w:val="000000"/>
              </w:rPr>
              <w:t>10 à 49 salariés</w:t>
            </w:r>
          </w:p>
        </w:tc>
        <w:tc>
          <w:tcPr>
            <w:tcW w:w="1825" w:type="dxa"/>
            <w:tcBorders>
              <w:top w:val="single" w:sz="4" w:space="0" w:color="auto"/>
              <w:left w:val="single" w:sz="4" w:space="0" w:color="auto"/>
              <w:bottom w:val="dashSmallGap" w:sz="4" w:space="0" w:color="auto"/>
              <w:right w:val="single" w:sz="4" w:space="0" w:color="auto"/>
            </w:tcBorders>
            <w:vAlign w:val="center"/>
          </w:tcPr>
          <w:p w:rsidR="00916EA3" w:rsidRDefault="00916EA3" w:rsidP="00916EA3">
            <w:pPr>
              <w:jc w:val="right"/>
              <w:rPr>
                <w:rFonts w:ascii="Calibri" w:hAnsi="Calibri" w:cs="Calibri"/>
                <w:color w:val="000000"/>
              </w:rPr>
            </w:pPr>
            <w:r>
              <w:rPr>
                <w:rFonts w:ascii="Calibri" w:hAnsi="Calibri" w:cs="Calibri"/>
                <w:color w:val="000000"/>
              </w:rPr>
              <w:t>13</w:t>
            </w:r>
          </w:p>
        </w:tc>
        <w:tc>
          <w:tcPr>
            <w:tcW w:w="1631" w:type="dxa"/>
            <w:tcBorders>
              <w:top w:val="single" w:sz="4" w:space="0" w:color="auto"/>
              <w:left w:val="single" w:sz="4" w:space="0" w:color="auto"/>
              <w:bottom w:val="dashSmallGap" w:sz="4" w:space="0" w:color="auto"/>
              <w:right w:val="single" w:sz="4" w:space="0" w:color="auto"/>
            </w:tcBorders>
            <w:shd w:val="clear" w:color="auto" w:fill="auto"/>
            <w:noWrap/>
            <w:vAlign w:val="center"/>
            <w:hideMark/>
          </w:tcPr>
          <w:p w:rsidR="00916EA3" w:rsidRDefault="00916EA3" w:rsidP="00916EA3">
            <w:pPr>
              <w:jc w:val="right"/>
              <w:rPr>
                <w:rFonts w:ascii="Calibri" w:hAnsi="Calibri" w:cs="Calibri"/>
                <w:color w:val="000000"/>
              </w:rPr>
            </w:pPr>
            <w:r>
              <w:rPr>
                <w:rFonts w:ascii="Calibri" w:hAnsi="Calibri" w:cs="Calibri"/>
                <w:color w:val="000000"/>
              </w:rPr>
              <w:t>35</w:t>
            </w:r>
          </w:p>
        </w:tc>
        <w:tc>
          <w:tcPr>
            <w:tcW w:w="1611" w:type="dxa"/>
            <w:tcBorders>
              <w:top w:val="single" w:sz="4" w:space="0" w:color="auto"/>
              <w:left w:val="single" w:sz="4" w:space="0" w:color="auto"/>
              <w:bottom w:val="dashSmallGap" w:sz="4" w:space="0" w:color="auto"/>
              <w:right w:val="single" w:sz="4" w:space="0" w:color="auto"/>
            </w:tcBorders>
            <w:shd w:val="clear" w:color="auto" w:fill="808080"/>
          </w:tcPr>
          <w:p w:rsidR="00916EA3" w:rsidRDefault="00916EA3" w:rsidP="00916EA3">
            <w:pPr>
              <w:jc w:val="right"/>
              <w:rPr>
                <w:rFonts w:ascii="Calibri" w:hAnsi="Calibri" w:cs="Calibri"/>
                <w:color w:val="000000"/>
              </w:rPr>
            </w:pPr>
          </w:p>
        </w:tc>
      </w:tr>
      <w:tr w:rsidR="00916EA3" w:rsidTr="00916EA3">
        <w:trPr>
          <w:trHeight w:val="300"/>
          <w:jc w:val="center"/>
        </w:trPr>
        <w:tc>
          <w:tcPr>
            <w:tcW w:w="3086" w:type="dxa"/>
            <w:tcBorders>
              <w:top w:val="dashSmallGap" w:sz="4" w:space="0" w:color="auto"/>
              <w:left w:val="single" w:sz="4" w:space="0" w:color="auto"/>
              <w:bottom w:val="nil"/>
              <w:right w:val="nil"/>
            </w:tcBorders>
            <w:shd w:val="clear" w:color="auto" w:fill="auto"/>
            <w:noWrap/>
            <w:vAlign w:val="center"/>
            <w:hideMark/>
          </w:tcPr>
          <w:p w:rsidR="00916EA3" w:rsidRDefault="00916EA3" w:rsidP="00916EA3">
            <w:pPr>
              <w:rPr>
                <w:rFonts w:ascii="Calibri" w:hAnsi="Calibri" w:cs="Calibri"/>
                <w:color w:val="000000"/>
              </w:rPr>
            </w:pPr>
            <w:r>
              <w:rPr>
                <w:rFonts w:ascii="Calibri" w:hAnsi="Calibri" w:cs="Calibri"/>
                <w:color w:val="000000"/>
              </w:rPr>
              <w:t>50 à 99 salariés</w:t>
            </w:r>
          </w:p>
        </w:tc>
        <w:tc>
          <w:tcPr>
            <w:tcW w:w="1825" w:type="dxa"/>
            <w:tcBorders>
              <w:top w:val="dashSmallGap" w:sz="4" w:space="0" w:color="auto"/>
              <w:left w:val="single" w:sz="4" w:space="0" w:color="auto"/>
              <w:bottom w:val="nil"/>
              <w:right w:val="single" w:sz="4" w:space="0" w:color="auto"/>
            </w:tcBorders>
            <w:vAlign w:val="center"/>
          </w:tcPr>
          <w:p w:rsidR="00916EA3" w:rsidRDefault="00916EA3" w:rsidP="00916EA3">
            <w:pPr>
              <w:jc w:val="right"/>
              <w:rPr>
                <w:rFonts w:ascii="Calibri" w:hAnsi="Calibri" w:cs="Calibri"/>
                <w:color w:val="000000"/>
              </w:rPr>
            </w:pPr>
            <w:r>
              <w:rPr>
                <w:rFonts w:ascii="Calibri" w:hAnsi="Calibri" w:cs="Calibri"/>
                <w:color w:val="000000"/>
              </w:rPr>
              <w:t>5</w:t>
            </w:r>
          </w:p>
        </w:tc>
        <w:tc>
          <w:tcPr>
            <w:tcW w:w="1631" w:type="dxa"/>
            <w:tcBorders>
              <w:top w:val="dashSmallGap" w:sz="4" w:space="0" w:color="auto"/>
              <w:left w:val="single" w:sz="4" w:space="0" w:color="auto"/>
              <w:bottom w:val="nil"/>
              <w:right w:val="single" w:sz="4" w:space="0" w:color="auto"/>
            </w:tcBorders>
            <w:shd w:val="clear" w:color="auto" w:fill="auto"/>
            <w:noWrap/>
            <w:vAlign w:val="center"/>
            <w:hideMark/>
          </w:tcPr>
          <w:p w:rsidR="00916EA3" w:rsidRDefault="00916EA3" w:rsidP="00916EA3">
            <w:pPr>
              <w:jc w:val="right"/>
              <w:rPr>
                <w:rFonts w:ascii="Calibri" w:hAnsi="Calibri" w:cs="Calibri"/>
                <w:color w:val="000000"/>
              </w:rPr>
            </w:pPr>
            <w:r>
              <w:rPr>
                <w:rFonts w:ascii="Calibri" w:hAnsi="Calibri" w:cs="Calibri"/>
                <w:color w:val="000000"/>
              </w:rPr>
              <w:t>20</w:t>
            </w:r>
          </w:p>
        </w:tc>
        <w:tc>
          <w:tcPr>
            <w:tcW w:w="1611" w:type="dxa"/>
            <w:tcBorders>
              <w:top w:val="dashSmallGap" w:sz="4" w:space="0" w:color="auto"/>
              <w:left w:val="single" w:sz="4" w:space="0" w:color="auto"/>
              <w:bottom w:val="nil"/>
              <w:right w:val="single" w:sz="4" w:space="0" w:color="auto"/>
            </w:tcBorders>
          </w:tcPr>
          <w:p w:rsidR="00916EA3" w:rsidRDefault="00916EA3" w:rsidP="00916EA3">
            <w:pPr>
              <w:jc w:val="right"/>
              <w:rPr>
                <w:rFonts w:ascii="Calibri" w:hAnsi="Calibri" w:cs="Calibri"/>
                <w:color w:val="000000"/>
              </w:rPr>
            </w:pPr>
            <w:r>
              <w:rPr>
                <w:rFonts w:ascii="Calibri" w:hAnsi="Calibri" w:cs="Calibri"/>
                <w:color w:val="000000"/>
              </w:rPr>
              <w:t>30</w:t>
            </w:r>
          </w:p>
        </w:tc>
      </w:tr>
      <w:tr w:rsidR="00916EA3" w:rsidTr="00916EA3">
        <w:trPr>
          <w:trHeight w:val="300"/>
          <w:jc w:val="center"/>
        </w:trPr>
        <w:tc>
          <w:tcPr>
            <w:tcW w:w="3086" w:type="dxa"/>
            <w:tcBorders>
              <w:top w:val="nil"/>
              <w:left w:val="single" w:sz="4" w:space="0" w:color="auto"/>
              <w:bottom w:val="nil"/>
              <w:right w:val="nil"/>
            </w:tcBorders>
            <w:shd w:val="clear" w:color="auto" w:fill="auto"/>
            <w:noWrap/>
            <w:vAlign w:val="center"/>
            <w:hideMark/>
          </w:tcPr>
          <w:p w:rsidR="00916EA3" w:rsidRDefault="00916EA3" w:rsidP="00916EA3">
            <w:pPr>
              <w:rPr>
                <w:rFonts w:ascii="Calibri" w:hAnsi="Calibri" w:cs="Calibri"/>
                <w:color w:val="000000"/>
              </w:rPr>
            </w:pPr>
            <w:r>
              <w:rPr>
                <w:rFonts w:ascii="Calibri" w:hAnsi="Calibri" w:cs="Calibri"/>
                <w:color w:val="000000"/>
              </w:rPr>
              <w:t>100 à 249 salariés</w:t>
            </w:r>
          </w:p>
        </w:tc>
        <w:tc>
          <w:tcPr>
            <w:tcW w:w="1825" w:type="dxa"/>
            <w:tcBorders>
              <w:top w:val="nil"/>
              <w:left w:val="single" w:sz="4" w:space="0" w:color="auto"/>
              <w:bottom w:val="nil"/>
              <w:right w:val="single" w:sz="4" w:space="0" w:color="auto"/>
            </w:tcBorders>
            <w:vAlign w:val="center"/>
          </w:tcPr>
          <w:p w:rsidR="00916EA3" w:rsidRDefault="00916EA3" w:rsidP="00916EA3">
            <w:pPr>
              <w:jc w:val="right"/>
              <w:rPr>
                <w:rFonts w:ascii="Calibri" w:hAnsi="Calibri" w:cs="Calibri"/>
                <w:color w:val="000000"/>
              </w:rPr>
            </w:pPr>
            <w:r>
              <w:rPr>
                <w:rFonts w:ascii="Calibri" w:hAnsi="Calibri" w:cs="Calibri"/>
                <w:color w:val="000000"/>
              </w:rPr>
              <w:t>7</w:t>
            </w:r>
          </w:p>
        </w:tc>
        <w:tc>
          <w:tcPr>
            <w:tcW w:w="1631" w:type="dxa"/>
            <w:tcBorders>
              <w:top w:val="nil"/>
              <w:left w:val="single" w:sz="4" w:space="0" w:color="auto"/>
              <w:bottom w:val="nil"/>
              <w:right w:val="single" w:sz="4" w:space="0" w:color="auto"/>
            </w:tcBorders>
            <w:shd w:val="clear" w:color="auto" w:fill="auto"/>
            <w:noWrap/>
            <w:vAlign w:val="center"/>
            <w:hideMark/>
          </w:tcPr>
          <w:p w:rsidR="00916EA3" w:rsidRDefault="00916EA3" w:rsidP="00916EA3">
            <w:pPr>
              <w:jc w:val="right"/>
              <w:rPr>
                <w:rFonts w:ascii="Calibri" w:hAnsi="Calibri" w:cs="Calibri"/>
                <w:color w:val="000000"/>
              </w:rPr>
            </w:pPr>
            <w:r>
              <w:rPr>
                <w:rFonts w:ascii="Calibri" w:hAnsi="Calibri" w:cs="Calibri"/>
                <w:color w:val="000000"/>
              </w:rPr>
              <w:t>19</w:t>
            </w:r>
          </w:p>
        </w:tc>
        <w:tc>
          <w:tcPr>
            <w:tcW w:w="1611" w:type="dxa"/>
            <w:tcBorders>
              <w:top w:val="nil"/>
              <w:left w:val="single" w:sz="4" w:space="0" w:color="auto"/>
              <w:bottom w:val="nil"/>
              <w:right w:val="single" w:sz="4" w:space="0" w:color="auto"/>
            </w:tcBorders>
          </w:tcPr>
          <w:p w:rsidR="00916EA3" w:rsidRDefault="00916EA3" w:rsidP="00916EA3">
            <w:pPr>
              <w:jc w:val="right"/>
              <w:rPr>
                <w:rFonts w:ascii="Calibri" w:hAnsi="Calibri" w:cs="Calibri"/>
                <w:color w:val="000000"/>
              </w:rPr>
            </w:pPr>
            <w:r>
              <w:rPr>
                <w:rFonts w:ascii="Calibri" w:hAnsi="Calibri" w:cs="Calibri"/>
                <w:color w:val="000000"/>
              </w:rPr>
              <w:t>29</w:t>
            </w:r>
          </w:p>
        </w:tc>
      </w:tr>
      <w:tr w:rsidR="00916EA3" w:rsidTr="00916EA3">
        <w:trPr>
          <w:trHeight w:val="300"/>
          <w:jc w:val="center"/>
        </w:trPr>
        <w:tc>
          <w:tcPr>
            <w:tcW w:w="3086" w:type="dxa"/>
            <w:tcBorders>
              <w:top w:val="nil"/>
              <w:left w:val="single" w:sz="4" w:space="0" w:color="auto"/>
              <w:bottom w:val="nil"/>
              <w:right w:val="nil"/>
            </w:tcBorders>
            <w:shd w:val="clear" w:color="auto" w:fill="auto"/>
            <w:noWrap/>
            <w:vAlign w:val="center"/>
            <w:hideMark/>
          </w:tcPr>
          <w:p w:rsidR="00916EA3" w:rsidRDefault="00916EA3" w:rsidP="00916EA3">
            <w:pPr>
              <w:rPr>
                <w:rFonts w:ascii="Calibri" w:hAnsi="Calibri" w:cs="Calibri"/>
                <w:color w:val="000000"/>
              </w:rPr>
            </w:pPr>
            <w:r>
              <w:rPr>
                <w:rFonts w:ascii="Calibri" w:hAnsi="Calibri" w:cs="Calibri"/>
                <w:color w:val="000000"/>
              </w:rPr>
              <w:t>250 à 499 salariés</w:t>
            </w:r>
          </w:p>
        </w:tc>
        <w:tc>
          <w:tcPr>
            <w:tcW w:w="1825" w:type="dxa"/>
            <w:tcBorders>
              <w:top w:val="nil"/>
              <w:left w:val="single" w:sz="4" w:space="0" w:color="auto"/>
              <w:bottom w:val="nil"/>
              <w:right w:val="single" w:sz="4" w:space="0" w:color="auto"/>
            </w:tcBorders>
            <w:vAlign w:val="center"/>
          </w:tcPr>
          <w:p w:rsidR="00916EA3" w:rsidRDefault="00916EA3" w:rsidP="00916EA3">
            <w:pPr>
              <w:jc w:val="right"/>
              <w:rPr>
                <w:rFonts w:ascii="Calibri" w:hAnsi="Calibri" w:cs="Calibri"/>
                <w:color w:val="000000"/>
              </w:rPr>
            </w:pPr>
            <w:r>
              <w:rPr>
                <w:rFonts w:ascii="Calibri" w:hAnsi="Calibri" w:cs="Calibri"/>
                <w:color w:val="000000"/>
              </w:rPr>
              <w:t>11</w:t>
            </w:r>
          </w:p>
        </w:tc>
        <w:tc>
          <w:tcPr>
            <w:tcW w:w="1631" w:type="dxa"/>
            <w:tcBorders>
              <w:top w:val="nil"/>
              <w:left w:val="single" w:sz="4" w:space="0" w:color="auto"/>
              <w:bottom w:val="nil"/>
              <w:right w:val="single" w:sz="4" w:space="0" w:color="auto"/>
            </w:tcBorders>
            <w:shd w:val="clear" w:color="auto" w:fill="auto"/>
            <w:noWrap/>
            <w:vAlign w:val="center"/>
            <w:hideMark/>
          </w:tcPr>
          <w:p w:rsidR="00916EA3" w:rsidRDefault="00916EA3" w:rsidP="00916EA3">
            <w:pPr>
              <w:jc w:val="right"/>
              <w:rPr>
                <w:rFonts w:ascii="Calibri" w:hAnsi="Calibri" w:cs="Calibri"/>
                <w:color w:val="000000"/>
              </w:rPr>
            </w:pPr>
            <w:r>
              <w:rPr>
                <w:rFonts w:ascii="Calibri" w:hAnsi="Calibri" w:cs="Calibri"/>
                <w:color w:val="000000"/>
              </w:rPr>
              <w:t>10</w:t>
            </w:r>
          </w:p>
        </w:tc>
        <w:tc>
          <w:tcPr>
            <w:tcW w:w="1611" w:type="dxa"/>
            <w:tcBorders>
              <w:top w:val="nil"/>
              <w:left w:val="single" w:sz="4" w:space="0" w:color="auto"/>
              <w:bottom w:val="nil"/>
              <w:right w:val="single" w:sz="4" w:space="0" w:color="auto"/>
            </w:tcBorders>
          </w:tcPr>
          <w:p w:rsidR="00916EA3" w:rsidRDefault="00916EA3" w:rsidP="00916EA3">
            <w:pPr>
              <w:jc w:val="right"/>
              <w:rPr>
                <w:rFonts w:ascii="Calibri" w:hAnsi="Calibri" w:cs="Calibri"/>
                <w:color w:val="000000"/>
              </w:rPr>
            </w:pPr>
            <w:r>
              <w:rPr>
                <w:rFonts w:ascii="Calibri" w:hAnsi="Calibri" w:cs="Calibri"/>
                <w:color w:val="000000"/>
              </w:rPr>
              <w:t>15</w:t>
            </w:r>
          </w:p>
        </w:tc>
      </w:tr>
      <w:tr w:rsidR="00916EA3" w:rsidTr="00916EA3">
        <w:trPr>
          <w:trHeight w:val="300"/>
          <w:jc w:val="center"/>
        </w:trPr>
        <w:tc>
          <w:tcPr>
            <w:tcW w:w="3086" w:type="dxa"/>
            <w:tcBorders>
              <w:top w:val="nil"/>
              <w:left w:val="single" w:sz="4" w:space="0" w:color="auto"/>
              <w:bottom w:val="nil"/>
              <w:right w:val="nil"/>
            </w:tcBorders>
            <w:shd w:val="clear" w:color="auto" w:fill="auto"/>
            <w:noWrap/>
            <w:vAlign w:val="center"/>
            <w:hideMark/>
          </w:tcPr>
          <w:p w:rsidR="00916EA3" w:rsidRDefault="00916EA3" w:rsidP="00916EA3">
            <w:pPr>
              <w:rPr>
                <w:rFonts w:ascii="Calibri" w:hAnsi="Calibri" w:cs="Calibri"/>
                <w:color w:val="000000"/>
              </w:rPr>
            </w:pPr>
            <w:r>
              <w:rPr>
                <w:rFonts w:ascii="Calibri" w:hAnsi="Calibri" w:cs="Calibri"/>
                <w:color w:val="000000"/>
              </w:rPr>
              <w:t>500 à 999 salariés</w:t>
            </w:r>
          </w:p>
        </w:tc>
        <w:tc>
          <w:tcPr>
            <w:tcW w:w="1825" w:type="dxa"/>
            <w:tcBorders>
              <w:top w:val="nil"/>
              <w:left w:val="single" w:sz="4" w:space="0" w:color="auto"/>
              <w:bottom w:val="nil"/>
              <w:right w:val="single" w:sz="4" w:space="0" w:color="auto"/>
            </w:tcBorders>
            <w:vAlign w:val="center"/>
          </w:tcPr>
          <w:p w:rsidR="00916EA3" w:rsidRDefault="00916EA3" w:rsidP="00916EA3">
            <w:pPr>
              <w:jc w:val="right"/>
              <w:rPr>
                <w:rFonts w:ascii="Calibri" w:hAnsi="Calibri" w:cs="Calibri"/>
                <w:color w:val="000000"/>
              </w:rPr>
            </w:pPr>
            <w:r>
              <w:rPr>
                <w:rFonts w:ascii="Calibri" w:hAnsi="Calibri" w:cs="Calibri"/>
                <w:color w:val="000000"/>
              </w:rPr>
              <w:t>18</w:t>
            </w:r>
          </w:p>
        </w:tc>
        <w:tc>
          <w:tcPr>
            <w:tcW w:w="1631" w:type="dxa"/>
            <w:tcBorders>
              <w:top w:val="nil"/>
              <w:left w:val="single" w:sz="4" w:space="0" w:color="auto"/>
              <w:bottom w:val="nil"/>
              <w:right w:val="single" w:sz="4" w:space="0" w:color="auto"/>
            </w:tcBorders>
            <w:shd w:val="clear" w:color="auto" w:fill="auto"/>
            <w:noWrap/>
            <w:vAlign w:val="center"/>
            <w:hideMark/>
          </w:tcPr>
          <w:p w:rsidR="00916EA3" w:rsidRDefault="00916EA3" w:rsidP="00916EA3">
            <w:pPr>
              <w:jc w:val="right"/>
              <w:rPr>
                <w:rFonts w:ascii="Calibri" w:hAnsi="Calibri" w:cs="Calibri"/>
                <w:color w:val="000000"/>
              </w:rPr>
            </w:pPr>
            <w:r>
              <w:rPr>
                <w:rFonts w:ascii="Calibri" w:hAnsi="Calibri" w:cs="Calibri"/>
                <w:color w:val="000000"/>
              </w:rPr>
              <w:t>7</w:t>
            </w:r>
          </w:p>
        </w:tc>
        <w:tc>
          <w:tcPr>
            <w:tcW w:w="1611" w:type="dxa"/>
            <w:tcBorders>
              <w:top w:val="nil"/>
              <w:left w:val="single" w:sz="4" w:space="0" w:color="auto"/>
              <w:bottom w:val="nil"/>
              <w:right w:val="single" w:sz="4" w:space="0" w:color="auto"/>
            </w:tcBorders>
          </w:tcPr>
          <w:p w:rsidR="00916EA3" w:rsidRDefault="00916EA3" w:rsidP="00916EA3">
            <w:pPr>
              <w:jc w:val="right"/>
              <w:rPr>
                <w:rFonts w:ascii="Calibri" w:hAnsi="Calibri" w:cs="Calibri"/>
                <w:color w:val="000000"/>
              </w:rPr>
            </w:pPr>
            <w:r>
              <w:rPr>
                <w:rFonts w:ascii="Calibri" w:hAnsi="Calibri" w:cs="Calibri"/>
                <w:color w:val="000000"/>
              </w:rPr>
              <w:t>11</w:t>
            </w:r>
          </w:p>
        </w:tc>
      </w:tr>
      <w:tr w:rsidR="00916EA3" w:rsidTr="00916EA3">
        <w:trPr>
          <w:trHeight w:val="300"/>
          <w:jc w:val="center"/>
        </w:trPr>
        <w:tc>
          <w:tcPr>
            <w:tcW w:w="3086" w:type="dxa"/>
            <w:tcBorders>
              <w:top w:val="nil"/>
              <w:left w:val="single" w:sz="4" w:space="0" w:color="auto"/>
              <w:bottom w:val="single" w:sz="4" w:space="0" w:color="auto"/>
              <w:right w:val="nil"/>
            </w:tcBorders>
            <w:shd w:val="clear" w:color="auto" w:fill="auto"/>
            <w:noWrap/>
            <w:vAlign w:val="center"/>
            <w:hideMark/>
          </w:tcPr>
          <w:p w:rsidR="00916EA3" w:rsidRDefault="00916EA3" w:rsidP="00916EA3">
            <w:pPr>
              <w:rPr>
                <w:rFonts w:ascii="Calibri" w:hAnsi="Calibri" w:cs="Calibri"/>
                <w:color w:val="000000"/>
              </w:rPr>
            </w:pPr>
            <w:r>
              <w:rPr>
                <w:rFonts w:ascii="Calibri" w:hAnsi="Calibri" w:cs="Calibri"/>
                <w:color w:val="000000"/>
              </w:rPr>
              <w:t>1 000 salariés ou plus</w:t>
            </w:r>
          </w:p>
        </w:tc>
        <w:tc>
          <w:tcPr>
            <w:tcW w:w="1825" w:type="dxa"/>
            <w:tcBorders>
              <w:top w:val="nil"/>
              <w:left w:val="single" w:sz="4" w:space="0" w:color="auto"/>
              <w:bottom w:val="single" w:sz="4" w:space="0" w:color="auto"/>
              <w:right w:val="single" w:sz="4" w:space="0" w:color="auto"/>
            </w:tcBorders>
            <w:vAlign w:val="center"/>
          </w:tcPr>
          <w:p w:rsidR="00916EA3" w:rsidRDefault="00916EA3" w:rsidP="00916EA3">
            <w:pPr>
              <w:jc w:val="right"/>
              <w:rPr>
                <w:rFonts w:ascii="Calibri" w:hAnsi="Calibri" w:cs="Calibri"/>
                <w:color w:val="000000"/>
              </w:rPr>
            </w:pPr>
            <w:r>
              <w:rPr>
                <w:rFonts w:ascii="Calibri" w:hAnsi="Calibri" w:cs="Calibri"/>
                <w:color w:val="000000"/>
              </w:rPr>
              <w:t>25</w:t>
            </w:r>
          </w:p>
        </w:tc>
        <w:tc>
          <w:tcPr>
            <w:tcW w:w="1631" w:type="dxa"/>
            <w:tcBorders>
              <w:top w:val="nil"/>
              <w:left w:val="single" w:sz="4" w:space="0" w:color="auto"/>
              <w:bottom w:val="single" w:sz="4" w:space="0" w:color="auto"/>
              <w:right w:val="single" w:sz="4" w:space="0" w:color="auto"/>
            </w:tcBorders>
            <w:shd w:val="clear" w:color="auto" w:fill="auto"/>
            <w:noWrap/>
            <w:vAlign w:val="center"/>
            <w:hideMark/>
          </w:tcPr>
          <w:p w:rsidR="00916EA3" w:rsidRDefault="00916EA3" w:rsidP="00916EA3">
            <w:pPr>
              <w:jc w:val="right"/>
              <w:rPr>
                <w:rFonts w:ascii="Calibri" w:hAnsi="Calibri" w:cs="Calibri"/>
                <w:color w:val="000000"/>
              </w:rPr>
            </w:pPr>
            <w:r>
              <w:rPr>
                <w:rFonts w:ascii="Calibri" w:hAnsi="Calibri" w:cs="Calibri"/>
                <w:color w:val="000000"/>
              </w:rPr>
              <w:t>10</w:t>
            </w:r>
          </w:p>
        </w:tc>
        <w:tc>
          <w:tcPr>
            <w:tcW w:w="1611" w:type="dxa"/>
            <w:tcBorders>
              <w:top w:val="nil"/>
              <w:left w:val="single" w:sz="4" w:space="0" w:color="auto"/>
              <w:bottom w:val="single" w:sz="4" w:space="0" w:color="auto"/>
              <w:right w:val="single" w:sz="4" w:space="0" w:color="auto"/>
            </w:tcBorders>
          </w:tcPr>
          <w:p w:rsidR="00916EA3" w:rsidRDefault="00916EA3" w:rsidP="00916EA3">
            <w:pPr>
              <w:jc w:val="right"/>
              <w:rPr>
                <w:rFonts w:ascii="Calibri" w:hAnsi="Calibri" w:cs="Calibri"/>
                <w:color w:val="000000"/>
              </w:rPr>
            </w:pPr>
            <w:r>
              <w:rPr>
                <w:rFonts w:ascii="Calibri" w:hAnsi="Calibri" w:cs="Calibri"/>
                <w:color w:val="000000"/>
              </w:rPr>
              <w:t>15</w:t>
            </w:r>
          </w:p>
        </w:tc>
      </w:tr>
      <w:tr w:rsidR="00916EA3" w:rsidRPr="00C27A1A" w:rsidTr="00916EA3">
        <w:trPr>
          <w:trHeight w:val="300"/>
          <w:jc w:val="center"/>
        </w:trPr>
        <w:tc>
          <w:tcPr>
            <w:tcW w:w="3086" w:type="dxa"/>
            <w:tcBorders>
              <w:top w:val="single" w:sz="4" w:space="0" w:color="auto"/>
              <w:left w:val="single" w:sz="4" w:space="0" w:color="auto"/>
              <w:bottom w:val="single" w:sz="4" w:space="0" w:color="auto"/>
              <w:right w:val="nil"/>
            </w:tcBorders>
            <w:shd w:val="clear" w:color="auto" w:fill="auto"/>
            <w:noWrap/>
            <w:vAlign w:val="center"/>
          </w:tcPr>
          <w:p w:rsidR="00916EA3" w:rsidRPr="00C27A1A" w:rsidRDefault="00916EA3" w:rsidP="00916EA3">
            <w:pPr>
              <w:rPr>
                <w:rFonts w:ascii="Calibri" w:hAnsi="Calibri" w:cs="Calibri"/>
                <w:b/>
                <w:color w:val="000000"/>
              </w:rPr>
            </w:pPr>
            <w:r w:rsidRPr="00C27A1A">
              <w:rPr>
                <w:rFonts w:ascii="Calibri" w:hAnsi="Calibri" w:cs="Calibri"/>
                <w:b/>
                <w:color w:val="000000"/>
              </w:rPr>
              <w:t>Ensemble</w:t>
            </w:r>
          </w:p>
        </w:tc>
        <w:tc>
          <w:tcPr>
            <w:tcW w:w="1825" w:type="dxa"/>
            <w:tcBorders>
              <w:top w:val="single" w:sz="4" w:space="0" w:color="auto"/>
              <w:left w:val="single" w:sz="4" w:space="0" w:color="auto"/>
              <w:bottom w:val="single" w:sz="4" w:space="0" w:color="auto"/>
              <w:right w:val="single" w:sz="4" w:space="0" w:color="auto"/>
            </w:tcBorders>
            <w:vAlign w:val="center"/>
          </w:tcPr>
          <w:p w:rsidR="00916EA3" w:rsidRPr="00C27A1A" w:rsidRDefault="00916EA3" w:rsidP="00916EA3">
            <w:pPr>
              <w:jc w:val="right"/>
              <w:rPr>
                <w:rFonts w:ascii="Calibri" w:hAnsi="Calibri" w:cs="Calibri"/>
                <w:b/>
                <w:color w:val="000000"/>
              </w:rPr>
            </w:pPr>
            <w:r>
              <w:rPr>
                <w:rFonts w:ascii="Calibri" w:hAnsi="Calibri" w:cs="Calibri"/>
                <w:b/>
                <w:color w:val="000000"/>
              </w:rPr>
              <w:t>9</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EA3" w:rsidRPr="00C27A1A" w:rsidRDefault="00916EA3" w:rsidP="00916EA3">
            <w:pPr>
              <w:jc w:val="right"/>
              <w:rPr>
                <w:rFonts w:ascii="Calibri" w:hAnsi="Calibri" w:cs="Calibri"/>
                <w:b/>
                <w:color w:val="000000"/>
              </w:rPr>
            </w:pPr>
            <w:r w:rsidRPr="00C27A1A">
              <w:rPr>
                <w:rFonts w:ascii="Calibri" w:hAnsi="Calibri" w:cs="Calibri"/>
                <w:b/>
                <w:color w:val="000000"/>
              </w:rPr>
              <w:t>100</w:t>
            </w:r>
          </w:p>
        </w:tc>
        <w:tc>
          <w:tcPr>
            <w:tcW w:w="1611" w:type="dxa"/>
            <w:tcBorders>
              <w:top w:val="single" w:sz="4" w:space="0" w:color="auto"/>
              <w:left w:val="single" w:sz="4" w:space="0" w:color="auto"/>
              <w:bottom w:val="single" w:sz="4" w:space="0" w:color="auto"/>
              <w:right w:val="single" w:sz="4" w:space="0" w:color="auto"/>
            </w:tcBorders>
          </w:tcPr>
          <w:p w:rsidR="00916EA3" w:rsidRPr="00C27A1A" w:rsidRDefault="00916EA3" w:rsidP="00916EA3">
            <w:pPr>
              <w:jc w:val="right"/>
              <w:rPr>
                <w:rFonts w:ascii="Calibri" w:hAnsi="Calibri" w:cs="Calibri"/>
                <w:b/>
                <w:color w:val="000000"/>
              </w:rPr>
            </w:pPr>
            <w:r>
              <w:rPr>
                <w:rFonts w:ascii="Calibri" w:hAnsi="Calibri" w:cs="Calibri"/>
                <w:b/>
                <w:color w:val="000000"/>
              </w:rPr>
              <w:t>100</w:t>
            </w:r>
          </w:p>
        </w:tc>
      </w:tr>
    </w:tbl>
    <w:p w:rsidR="00916EA3" w:rsidRPr="009014A4" w:rsidRDefault="00916EA3" w:rsidP="009014A4">
      <w:pPr>
        <w:autoSpaceDE w:val="0"/>
        <w:autoSpaceDN w:val="0"/>
        <w:adjustRightInd w:val="0"/>
        <w:spacing w:after="0" w:line="240" w:lineRule="auto"/>
        <w:ind w:firstLine="426"/>
        <w:jc w:val="both"/>
        <w:rPr>
          <w:rFonts w:ascii="Arial" w:hAnsi="Arial" w:cs="Arial"/>
          <w:bCs/>
          <w:i/>
          <w:sz w:val="16"/>
          <w:szCs w:val="16"/>
        </w:rPr>
      </w:pPr>
      <w:r w:rsidRPr="009014A4">
        <w:rPr>
          <w:rFonts w:ascii="Arial" w:hAnsi="Arial" w:cs="Arial"/>
          <w:bCs/>
          <w:i/>
          <w:sz w:val="16"/>
          <w:szCs w:val="16"/>
        </w:rPr>
        <w:t>Champ : entreprises de 10 salariés ou plus qui ont distribué une prime de participation</w:t>
      </w:r>
    </w:p>
    <w:p w:rsidR="00916EA3" w:rsidRPr="009014A4" w:rsidRDefault="00916EA3" w:rsidP="009014A4">
      <w:pPr>
        <w:autoSpaceDE w:val="0"/>
        <w:autoSpaceDN w:val="0"/>
        <w:adjustRightInd w:val="0"/>
        <w:spacing w:after="0" w:line="240" w:lineRule="auto"/>
        <w:ind w:firstLine="426"/>
        <w:jc w:val="both"/>
        <w:rPr>
          <w:rFonts w:ascii="Arial" w:hAnsi="Arial" w:cs="Arial"/>
          <w:bCs/>
          <w:i/>
          <w:sz w:val="16"/>
          <w:szCs w:val="16"/>
        </w:rPr>
      </w:pPr>
      <w:r w:rsidRPr="009014A4">
        <w:rPr>
          <w:rFonts w:ascii="Arial" w:hAnsi="Arial" w:cs="Arial"/>
          <w:bCs/>
          <w:i/>
          <w:sz w:val="16"/>
          <w:szCs w:val="16"/>
        </w:rPr>
        <w:t>Source : DARES, enquêtes Acemo-PIPA 2016</w:t>
      </w:r>
    </w:p>
    <w:p w:rsidR="00916EA3" w:rsidRDefault="00916EA3" w:rsidP="00916EA3">
      <w:pPr>
        <w:autoSpaceDE w:val="0"/>
        <w:autoSpaceDN w:val="0"/>
        <w:adjustRightInd w:val="0"/>
        <w:jc w:val="center"/>
        <w:rPr>
          <w:rFonts w:ascii="Arial" w:hAnsi="Arial" w:cs="Arial"/>
          <w:b/>
          <w:bCs/>
          <w:sz w:val="20"/>
          <w:szCs w:val="20"/>
        </w:rPr>
      </w:pPr>
    </w:p>
    <w:p w:rsidR="00F85D64" w:rsidRDefault="00F85D64" w:rsidP="00916EA3">
      <w:pPr>
        <w:autoSpaceDE w:val="0"/>
        <w:autoSpaceDN w:val="0"/>
        <w:adjustRightInd w:val="0"/>
        <w:jc w:val="center"/>
        <w:rPr>
          <w:rFonts w:ascii="Arial" w:hAnsi="Arial" w:cs="Arial"/>
          <w:b/>
          <w:bCs/>
          <w:sz w:val="20"/>
          <w:szCs w:val="20"/>
        </w:rPr>
      </w:pPr>
    </w:p>
    <w:p w:rsidR="00916EA3" w:rsidRPr="001A3975" w:rsidRDefault="00916EA3" w:rsidP="00916EA3">
      <w:pPr>
        <w:autoSpaceDE w:val="0"/>
        <w:autoSpaceDN w:val="0"/>
        <w:adjustRightInd w:val="0"/>
        <w:jc w:val="center"/>
        <w:rPr>
          <w:rFonts w:ascii="Arial" w:hAnsi="Arial" w:cs="Arial"/>
          <w:b/>
          <w:bCs/>
          <w:sz w:val="26"/>
          <w:szCs w:val="26"/>
        </w:rPr>
      </w:pPr>
      <w:r w:rsidRPr="001A3975">
        <w:rPr>
          <w:rFonts w:ascii="Arial" w:hAnsi="Arial" w:cs="Arial"/>
          <w:b/>
          <w:bCs/>
          <w:sz w:val="26"/>
          <w:szCs w:val="26"/>
        </w:rPr>
        <w:t>Fiche 3 : Poids de la participation dans la masse salariale des bénéficiaires</w:t>
      </w:r>
    </w:p>
    <w:p w:rsidR="00916EA3" w:rsidRPr="001A3975" w:rsidRDefault="00916EA3" w:rsidP="00916EA3">
      <w:pPr>
        <w:autoSpaceDE w:val="0"/>
        <w:autoSpaceDN w:val="0"/>
        <w:adjustRightInd w:val="0"/>
        <w:jc w:val="both"/>
        <w:rPr>
          <w:rFonts w:ascii="Arial" w:hAnsi="Arial" w:cs="Arial"/>
          <w:sz w:val="20"/>
          <w:szCs w:val="20"/>
        </w:rPr>
      </w:pPr>
      <w:r w:rsidRPr="001A3975">
        <w:rPr>
          <w:rFonts w:ascii="Arial" w:hAnsi="Arial" w:cs="Arial"/>
          <w:sz w:val="20"/>
          <w:szCs w:val="20"/>
        </w:rPr>
        <w:t>La participation versée en 2016 par les entreprises de 10 salariés ou plus représente 3,8 % de la masse salariale de 2015.</w:t>
      </w:r>
    </w:p>
    <w:p w:rsidR="00916EA3" w:rsidRPr="001A3975" w:rsidRDefault="00916EA3" w:rsidP="00916EA3">
      <w:pPr>
        <w:autoSpaceDE w:val="0"/>
        <w:autoSpaceDN w:val="0"/>
        <w:adjustRightInd w:val="0"/>
        <w:jc w:val="both"/>
        <w:rPr>
          <w:rFonts w:ascii="Arial" w:hAnsi="Arial" w:cs="Arial"/>
          <w:sz w:val="20"/>
          <w:szCs w:val="20"/>
        </w:rPr>
      </w:pPr>
      <w:r w:rsidRPr="001A3975">
        <w:rPr>
          <w:rFonts w:ascii="Arial" w:hAnsi="Arial" w:cs="Arial"/>
          <w:sz w:val="20"/>
          <w:szCs w:val="20"/>
        </w:rPr>
        <w:t>Elle est plus élevée dans les entreprises de 10 à 499 salariés (entre 4,2 % et 4,3 %, tableau 1). Elle chute à 3,8 % dans les entreprises de 500 à 999 salariés puis à 3,5 % dans celles ayant au moins 1 000 salariés.</w:t>
      </w:r>
    </w:p>
    <w:p w:rsidR="00916EA3" w:rsidRPr="001A3975" w:rsidRDefault="00916EA3" w:rsidP="00916EA3">
      <w:pPr>
        <w:autoSpaceDE w:val="0"/>
        <w:autoSpaceDN w:val="0"/>
        <w:adjustRightInd w:val="0"/>
        <w:jc w:val="both"/>
        <w:rPr>
          <w:rFonts w:ascii="Arial" w:hAnsi="Arial" w:cs="Arial"/>
          <w:sz w:val="20"/>
          <w:szCs w:val="20"/>
        </w:rPr>
      </w:pPr>
      <w:r w:rsidRPr="001A3975">
        <w:rPr>
          <w:rFonts w:ascii="Arial" w:hAnsi="Arial" w:cs="Arial"/>
          <w:sz w:val="20"/>
          <w:szCs w:val="20"/>
        </w:rPr>
        <w:t>Dans les entreprises de 50 salariés ou plus, c’est dans le secteur de la fabrication de denrées alimentaires, de boisson et de produits à base de tabac que la participation versée en 2016 pèse le plus dans la masse salariale (5,4 %, tableau 2). Elle est également importante dans la fabrication d’autres produits industriels (4,9 %), dans le commerce, réparation d’automobiles et de motocycles (4,3 %), dans la fabrication de matériels de transport (4,2 %) et dans la fabrication d’équipements électriques, électroniques, informatiques, fabrication de machines (4,0 %). A l’inverse, la part de la participation versée en 2016 dans les entreprises d’hébergement et restauration est la plus basse (2,0 % de la masse salariale des bénéficiaires).</w:t>
      </w:r>
    </w:p>
    <w:p w:rsidR="00916EA3" w:rsidRPr="001A3975" w:rsidRDefault="00916EA3" w:rsidP="00916EA3">
      <w:pPr>
        <w:autoSpaceDE w:val="0"/>
        <w:autoSpaceDN w:val="0"/>
        <w:adjustRightInd w:val="0"/>
        <w:jc w:val="both"/>
        <w:rPr>
          <w:rFonts w:ascii="Arial" w:hAnsi="Arial" w:cs="Arial"/>
          <w:sz w:val="20"/>
          <w:szCs w:val="20"/>
        </w:rPr>
      </w:pPr>
      <w:r w:rsidRPr="001A3975">
        <w:rPr>
          <w:rFonts w:ascii="Arial" w:hAnsi="Arial" w:cs="Arial"/>
          <w:sz w:val="20"/>
          <w:szCs w:val="20"/>
        </w:rPr>
        <w:lastRenderedPageBreak/>
        <w:t xml:space="preserve">Le montant de participation attribué dans les entreprises de 50 salariés ou plus dépend des rémunérations versées durant l’exercice précédent. En effet, dans les 30 % des entreprises proposant les rémunérations annuelles moyennes les plus élevées, cette proportion atteint 4,0 % contre 3,6 % dans les 30 % des entreprises proposant les rémunérations annuelles moyennes les plus faibles (tableau 3).  </w:t>
      </w:r>
    </w:p>
    <w:p w:rsidR="00916EA3" w:rsidRDefault="00916EA3" w:rsidP="00916EA3">
      <w:pPr>
        <w:autoSpaceDE w:val="0"/>
        <w:autoSpaceDN w:val="0"/>
        <w:adjustRightInd w:val="0"/>
        <w:jc w:val="center"/>
        <w:rPr>
          <w:rFonts w:ascii="Arial" w:hAnsi="Arial" w:cs="Arial"/>
          <w:b/>
          <w:bCs/>
          <w:sz w:val="20"/>
          <w:szCs w:val="20"/>
        </w:rPr>
      </w:pPr>
    </w:p>
    <w:p w:rsidR="00916EA3" w:rsidRPr="001A3975" w:rsidRDefault="00916EA3" w:rsidP="00916EA3">
      <w:pPr>
        <w:autoSpaceDE w:val="0"/>
        <w:autoSpaceDN w:val="0"/>
        <w:adjustRightInd w:val="0"/>
        <w:jc w:val="center"/>
        <w:rPr>
          <w:rFonts w:ascii="Arial" w:hAnsi="Arial" w:cs="Arial"/>
          <w:b/>
          <w:bCs/>
          <w:sz w:val="20"/>
          <w:szCs w:val="20"/>
        </w:rPr>
      </w:pPr>
      <w:r w:rsidRPr="001A3975">
        <w:rPr>
          <w:rFonts w:ascii="Arial" w:hAnsi="Arial" w:cs="Arial"/>
          <w:b/>
          <w:bCs/>
          <w:sz w:val="20"/>
          <w:szCs w:val="20"/>
        </w:rPr>
        <w:t>Tableau 1 : Poids de la participation versée en 2016 dans la masse salariale des bénéficiaires</w:t>
      </w:r>
      <w:r w:rsidR="00537895">
        <w:rPr>
          <w:rFonts w:ascii="Arial" w:hAnsi="Arial" w:cs="Arial"/>
          <w:b/>
          <w:bCs/>
          <w:sz w:val="20"/>
          <w:szCs w:val="20"/>
        </w:rPr>
        <w:t xml:space="preserve"> </w:t>
      </w:r>
      <w:r w:rsidRPr="001A3975">
        <w:rPr>
          <w:rFonts w:ascii="Arial" w:hAnsi="Arial" w:cs="Arial"/>
          <w:b/>
          <w:bCs/>
          <w:sz w:val="20"/>
          <w:szCs w:val="20"/>
        </w:rPr>
        <w:t>par taille d’entreprise</w:t>
      </w:r>
    </w:p>
    <w:tbl>
      <w:tblPr>
        <w:tblW w:w="4342" w:type="dxa"/>
        <w:jc w:val="center"/>
        <w:tblInd w:w="55" w:type="dxa"/>
        <w:tblCellMar>
          <w:left w:w="70" w:type="dxa"/>
          <w:right w:w="70" w:type="dxa"/>
        </w:tblCellMar>
        <w:tblLook w:val="04A0" w:firstRow="1" w:lastRow="0" w:firstColumn="1" w:lastColumn="0" w:noHBand="0" w:noVBand="1"/>
      </w:tblPr>
      <w:tblGrid>
        <w:gridCol w:w="3340"/>
        <w:gridCol w:w="1002"/>
      </w:tblGrid>
      <w:tr w:rsidR="00916EA3" w:rsidRPr="001A3975" w:rsidTr="00916EA3">
        <w:trPr>
          <w:trHeight w:val="300"/>
          <w:jc w:val="center"/>
        </w:trPr>
        <w:tc>
          <w:tcPr>
            <w:tcW w:w="3340" w:type="dxa"/>
            <w:tcBorders>
              <w:top w:val="single" w:sz="4" w:space="0" w:color="auto"/>
              <w:left w:val="single" w:sz="4" w:space="0" w:color="auto"/>
              <w:bottom w:val="single" w:sz="4" w:space="0" w:color="auto"/>
              <w:right w:val="nil"/>
            </w:tcBorders>
            <w:shd w:val="clear" w:color="auto" w:fill="auto"/>
            <w:vAlign w:val="center"/>
            <w:hideMark/>
          </w:tcPr>
          <w:p w:rsidR="00916EA3" w:rsidRPr="001A3975" w:rsidRDefault="00916EA3" w:rsidP="00916EA3">
            <w:pPr>
              <w:jc w:val="center"/>
              <w:rPr>
                <w:rFonts w:ascii="Arial" w:hAnsi="Arial" w:cs="Arial"/>
                <w:color w:val="000000"/>
                <w:sz w:val="20"/>
                <w:szCs w:val="20"/>
              </w:rPr>
            </w:pPr>
            <w:r w:rsidRPr="001A3975">
              <w:rPr>
                <w:rFonts w:ascii="Arial" w:hAnsi="Arial" w:cs="Arial"/>
                <w:color w:val="000000"/>
                <w:sz w:val="20"/>
                <w:szCs w:val="20"/>
              </w:rPr>
              <w:t>Taille de l'entreprise</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EA3" w:rsidRPr="001A3975" w:rsidRDefault="00916EA3" w:rsidP="00042414">
            <w:pPr>
              <w:jc w:val="center"/>
              <w:rPr>
                <w:rFonts w:ascii="Arial" w:hAnsi="Arial" w:cs="Arial"/>
                <w:color w:val="000000"/>
                <w:sz w:val="20"/>
                <w:szCs w:val="20"/>
              </w:rPr>
            </w:pPr>
            <w:r w:rsidRPr="001A3975">
              <w:rPr>
                <w:rFonts w:ascii="Arial" w:hAnsi="Arial" w:cs="Arial"/>
                <w:color w:val="000000"/>
                <w:sz w:val="20"/>
                <w:szCs w:val="20"/>
              </w:rPr>
              <w:t>Part en %</w:t>
            </w:r>
          </w:p>
        </w:tc>
      </w:tr>
      <w:tr w:rsidR="00916EA3" w:rsidRPr="001A3975" w:rsidTr="00916EA3">
        <w:trPr>
          <w:trHeight w:val="300"/>
          <w:jc w:val="center"/>
        </w:trPr>
        <w:tc>
          <w:tcPr>
            <w:tcW w:w="3340" w:type="dxa"/>
            <w:tcBorders>
              <w:top w:val="single" w:sz="4" w:space="0" w:color="auto"/>
              <w:left w:val="single" w:sz="4" w:space="0" w:color="auto"/>
              <w:bottom w:val="dashSmallGap" w:sz="4" w:space="0" w:color="auto"/>
              <w:right w:val="nil"/>
            </w:tcBorders>
            <w:shd w:val="clear" w:color="auto" w:fill="auto"/>
            <w:vAlign w:val="center"/>
            <w:hideMark/>
          </w:tcPr>
          <w:p w:rsidR="00916EA3" w:rsidRPr="001A3975" w:rsidRDefault="00916EA3" w:rsidP="00916EA3">
            <w:pPr>
              <w:rPr>
                <w:rFonts w:ascii="Arial" w:hAnsi="Arial" w:cs="Arial"/>
                <w:color w:val="000000"/>
                <w:sz w:val="20"/>
                <w:szCs w:val="20"/>
              </w:rPr>
            </w:pPr>
            <w:r w:rsidRPr="001A3975">
              <w:rPr>
                <w:rFonts w:ascii="Arial" w:hAnsi="Arial" w:cs="Arial"/>
                <w:color w:val="000000"/>
                <w:sz w:val="20"/>
                <w:szCs w:val="20"/>
              </w:rPr>
              <w:t>10 à 49 salariés</w:t>
            </w:r>
          </w:p>
        </w:tc>
        <w:tc>
          <w:tcPr>
            <w:tcW w:w="1002"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916EA3" w:rsidRPr="001A3975" w:rsidRDefault="00916EA3" w:rsidP="009014A4">
            <w:pPr>
              <w:jc w:val="center"/>
              <w:rPr>
                <w:rFonts w:ascii="Arial" w:hAnsi="Arial" w:cs="Arial"/>
                <w:color w:val="000000"/>
                <w:sz w:val="20"/>
                <w:szCs w:val="20"/>
              </w:rPr>
            </w:pPr>
            <w:r w:rsidRPr="001A3975">
              <w:rPr>
                <w:rFonts w:ascii="Arial" w:hAnsi="Arial" w:cs="Arial"/>
                <w:color w:val="000000"/>
                <w:sz w:val="20"/>
                <w:szCs w:val="20"/>
              </w:rPr>
              <w:t>4,3</w:t>
            </w:r>
          </w:p>
        </w:tc>
      </w:tr>
      <w:tr w:rsidR="00916EA3" w:rsidRPr="001A3975" w:rsidTr="00916EA3">
        <w:trPr>
          <w:trHeight w:val="300"/>
          <w:jc w:val="center"/>
        </w:trPr>
        <w:tc>
          <w:tcPr>
            <w:tcW w:w="3340" w:type="dxa"/>
            <w:tcBorders>
              <w:top w:val="dashSmallGap" w:sz="4" w:space="0" w:color="auto"/>
              <w:left w:val="single" w:sz="4" w:space="0" w:color="auto"/>
              <w:bottom w:val="nil"/>
              <w:right w:val="nil"/>
            </w:tcBorders>
            <w:shd w:val="clear" w:color="auto" w:fill="auto"/>
            <w:vAlign w:val="center"/>
            <w:hideMark/>
          </w:tcPr>
          <w:p w:rsidR="00916EA3" w:rsidRPr="001A3975" w:rsidRDefault="00916EA3" w:rsidP="00916EA3">
            <w:pPr>
              <w:rPr>
                <w:rFonts w:ascii="Arial" w:hAnsi="Arial" w:cs="Arial"/>
                <w:color w:val="000000"/>
                <w:sz w:val="20"/>
                <w:szCs w:val="20"/>
              </w:rPr>
            </w:pPr>
            <w:r w:rsidRPr="001A3975">
              <w:rPr>
                <w:rFonts w:ascii="Arial" w:hAnsi="Arial" w:cs="Arial"/>
                <w:color w:val="000000"/>
                <w:sz w:val="20"/>
                <w:szCs w:val="20"/>
              </w:rPr>
              <w:t>50 à 99 salariés</w:t>
            </w:r>
          </w:p>
        </w:tc>
        <w:tc>
          <w:tcPr>
            <w:tcW w:w="1002" w:type="dxa"/>
            <w:tcBorders>
              <w:top w:val="dashSmallGap" w:sz="4" w:space="0" w:color="auto"/>
              <w:left w:val="single" w:sz="4" w:space="0" w:color="auto"/>
              <w:bottom w:val="nil"/>
              <w:right w:val="single" w:sz="4" w:space="0" w:color="auto"/>
            </w:tcBorders>
            <w:shd w:val="clear" w:color="auto" w:fill="auto"/>
            <w:vAlign w:val="center"/>
            <w:hideMark/>
          </w:tcPr>
          <w:p w:rsidR="00916EA3" w:rsidRPr="001A3975" w:rsidRDefault="00916EA3" w:rsidP="009014A4">
            <w:pPr>
              <w:jc w:val="center"/>
              <w:rPr>
                <w:rFonts w:ascii="Arial" w:hAnsi="Arial" w:cs="Arial"/>
                <w:color w:val="000000"/>
                <w:sz w:val="20"/>
                <w:szCs w:val="20"/>
              </w:rPr>
            </w:pPr>
            <w:r w:rsidRPr="001A3975">
              <w:rPr>
                <w:rFonts w:ascii="Arial" w:hAnsi="Arial" w:cs="Arial"/>
                <w:color w:val="000000"/>
                <w:sz w:val="20"/>
                <w:szCs w:val="20"/>
              </w:rPr>
              <w:t>4,3</w:t>
            </w:r>
          </w:p>
        </w:tc>
      </w:tr>
      <w:tr w:rsidR="00916EA3" w:rsidRPr="001A3975" w:rsidTr="00916EA3">
        <w:trPr>
          <w:trHeight w:val="300"/>
          <w:jc w:val="center"/>
        </w:trPr>
        <w:tc>
          <w:tcPr>
            <w:tcW w:w="3340" w:type="dxa"/>
            <w:tcBorders>
              <w:top w:val="nil"/>
              <w:left w:val="single" w:sz="4" w:space="0" w:color="auto"/>
              <w:bottom w:val="nil"/>
              <w:right w:val="nil"/>
            </w:tcBorders>
            <w:shd w:val="clear" w:color="auto" w:fill="auto"/>
            <w:vAlign w:val="center"/>
            <w:hideMark/>
          </w:tcPr>
          <w:p w:rsidR="00916EA3" w:rsidRPr="001A3975" w:rsidRDefault="00916EA3" w:rsidP="00916EA3">
            <w:pPr>
              <w:rPr>
                <w:rFonts w:ascii="Arial" w:hAnsi="Arial" w:cs="Arial"/>
                <w:color w:val="000000"/>
                <w:sz w:val="20"/>
                <w:szCs w:val="20"/>
              </w:rPr>
            </w:pPr>
            <w:r w:rsidRPr="001A3975">
              <w:rPr>
                <w:rFonts w:ascii="Arial" w:hAnsi="Arial" w:cs="Arial"/>
                <w:color w:val="000000"/>
                <w:sz w:val="20"/>
                <w:szCs w:val="20"/>
              </w:rPr>
              <w:t>100 à 249 salariés</w:t>
            </w:r>
          </w:p>
        </w:tc>
        <w:tc>
          <w:tcPr>
            <w:tcW w:w="1002" w:type="dxa"/>
            <w:tcBorders>
              <w:top w:val="nil"/>
              <w:left w:val="single" w:sz="4" w:space="0" w:color="auto"/>
              <w:bottom w:val="nil"/>
              <w:right w:val="single" w:sz="4" w:space="0" w:color="auto"/>
            </w:tcBorders>
            <w:shd w:val="clear" w:color="auto" w:fill="auto"/>
            <w:vAlign w:val="center"/>
            <w:hideMark/>
          </w:tcPr>
          <w:p w:rsidR="00916EA3" w:rsidRPr="001A3975" w:rsidRDefault="00916EA3" w:rsidP="009014A4">
            <w:pPr>
              <w:jc w:val="center"/>
              <w:rPr>
                <w:rFonts w:ascii="Arial" w:hAnsi="Arial" w:cs="Arial"/>
                <w:color w:val="000000"/>
                <w:sz w:val="20"/>
                <w:szCs w:val="20"/>
              </w:rPr>
            </w:pPr>
            <w:r w:rsidRPr="001A3975">
              <w:rPr>
                <w:rFonts w:ascii="Arial" w:hAnsi="Arial" w:cs="Arial"/>
                <w:color w:val="000000"/>
                <w:sz w:val="20"/>
                <w:szCs w:val="20"/>
              </w:rPr>
              <w:t>4,2</w:t>
            </w:r>
          </w:p>
        </w:tc>
      </w:tr>
      <w:tr w:rsidR="00916EA3" w:rsidRPr="001A3975" w:rsidTr="00916EA3">
        <w:trPr>
          <w:trHeight w:val="300"/>
          <w:jc w:val="center"/>
        </w:trPr>
        <w:tc>
          <w:tcPr>
            <w:tcW w:w="3340" w:type="dxa"/>
            <w:tcBorders>
              <w:top w:val="nil"/>
              <w:left w:val="single" w:sz="4" w:space="0" w:color="auto"/>
              <w:bottom w:val="nil"/>
              <w:right w:val="nil"/>
            </w:tcBorders>
            <w:shd w:val="clear" w:color="auto" w:fill="auto"/>
            <w:vAlign w:val="center"/>
            <w:hideMark/>
          </w:tcPr>
          <w:p w:rsidR="00916EA3" w:rsidRPr="001A3975" w:rsidRDefault="00916EA3" w:rsidP="00916EA3">
            <w:pPr>
              <w:rPr>
                <w:rFonts w:ascii="Arial" w:hAnsi="Arial" w:cs="Arial"/>
                <w:color w:val="000000"/>
                <w:sz w:val="20"/>
                <w:szCs w:val="20"/>
              </w:rPr>
            </w:pPr>
            <w:r w:rsidRPr="001A3975">
              <w:rPr>
                <w:rFonts w:ascii="Arial" w:hAnsi="Arial" w:cs="Arial"/>
                <w:color w:val="000000"/>
                <w:sz w:val="20"/>
                <w:szCs w:val="20"/>
              </w:rPr>
              <w:t>250 à 499 salariés</w:t>
            </w:r>
          </w:p>
        </w:tc>
        <w:tc>
          <w:tcPr>
            <w:tcW w:w="1002" w:type="dxa"/>
            <w:tcBorders>
              <w:top w:val="nil"/>
              <w:left w:val="single" w:sz="4" w:space="0" w:color="auto"/>
              <w:bottom w:val="nil"/>
              <w:right w:val="single" w:sz="4" w:space="0" w:color="auto"/>
            </w:tcBorders>
            <w:shd w:val="clear" w:color="auto" w:fill="auto"/>
            <w:vAlign w:val="center"/>
            <w:hideMark/>
          </w:tcPr>
          <w:p w:rsidR="00916EA3" w:rsidRPr="001A3975" w:rsidRDefault="00916EA3" w:rsidP="009014A4">
            <w:pPr>
              <w:jc w:val="center"/>
              <w:rPr>
                <w:rFonts w:ascii="Arial" w:hAnsi="Arial" w:cs="Arial"/>
                <w:color w:val="000000"/>
                <w:sz w:val="20"/>
                <w:szCs w:val="20"/>
              </w:rPr>
            </w:pPr>
            <w:r w:rsidRPr="001A3975">
              <w:rPr>
                <w:rFonts w:ascii="Arial" w:hAnsi="Arial" w:cs="Arial"/>
                <w:color w:val="000000"/>
                <w:sz w:val="20"/>
                <w:szCs w:val="20"/>
              </w:rPr>
              <w:t>4,2</w:t>
            </w:r>
          </w:p>
        </w:tc>
      </w:tr>
      <w:tr w:rsidR="00916EA3" w:rsidRPr="001A3975" w:rsidTr="00916EA3">
        <w:trPr>
          <w:trHeight w:val="300"/>
          <w:jc w:val="center"/>
        </w:trPr>
        <w:tc>
          <w:tcPr>
            <w:tcW w:w="3340" w:type="dxa"/>
            <w:tcBorders>
              <w:top w:val="nil"/>
              <w:left w:val="single" w:sz="4" w:space="0" w:color="auto"/>
              <w:bottom w:val="nil"/>
              <w:right w:val="nil"/>
            </w:tcBorders>
            <w:shd w:val="clear" w:color="auto" w:fill="auto"/>
            <w:vAlign w:val="center"/>
            <w:hideMark/>
          </w:tcPr>
          <w:p w:rsidR="00916EA3" w:rsidRPr="001A3975" w:rsidRDefault="00916EA3" w:rsidP="00916EA3">
            <w:pPr>
              <w:rPr>
                <w:rFonts w:ascii="Arial" w:hAnsi="Arial" w:cs="Arial"/>
                <w:color w:val="000000"/>
                <w:sz w:val="20"/>
                <w:szCs w:val="20"/>
              </w:rPr>
            </w:pPr>
            <w:r w:rsidRPr="001A3975">
              <w:rPr>
                <w:rFonts w:ascii="Arial" w:hAnsi="Arial" w:cs="Arial"/>
                <w:color w:val="000000"/>
                <w:sz w:val="20"/>
                <w:szCs w:val="20"/>
              </w:rPr>
              <w:t>500 à 999 salariés</w:t>
            </w:r>
          </w:p>
        </w:tc>
        <w:tc>
          <w:tcPr>
            <w:tcW w:w="1002" w:type="dxa"/>
            <w:tcBorders>
              <w:top w:val="nil"/>
              <w:left w:val="single" w:sz="4" w:space="0" w:color="auto"/>
              <w:bottom w:val="nil"/>
              <w:right w:val="single" w:sz="4" w:space="0" w:color="auto"/>
            </w:tcBorders>
            <w:shd w:val="clear" w:color="auto" w:fill="auto"/>
            <w:vAlign w:val="center"/>
            <w:hideMark/>
          </w:tcPr>
          <w:p w:rsidR="00916EA3" w:rsidRPr="001A3975" w:rsidRDefault="00916EA3" w:rsidP="009014A4">
            <w:pPr>
              <w:jc w:val="center"/>
              <w:rPr>
                <w:rFonts w:ascii="Arial" w:hAnsi="Arial" w:cs="Arial"/>
                <w:color w:val="000000"/>
                <w:sz w:val="20"/>
                <w:szCs w:val="20"/>
              </w:rPr>
            </w:pPr>
            <w:r w:rsidRPr="001A3975">
              <w:rPr>
                <w:rFonts w:ascii="Arial" w:hAnsi="Arial" w:cs="Arial"/>
                <w:color w:val="000000"/>
                <w:sz w:val="20"/>
                <w:szCs w:val="20"/>
              </w:rPr>
              <w:t>3,8</w:t>
            </w:r>
          </w:p>
        </w:tc>
      </w:tr>
      <w:tr w:rsidR="00916EA3" w:rsidRPr="001A3975" w:rsidTr="00916EA3">
        <w:trPr>
          <w:trHeight w:val="300"/>
          <w:jc w:val="center"/>
        </w:trPr>
        <w:tc>
          <w:tcPr>
            <w:tcW w:w="3340" w:type="dxa"/>
            <w:tcBorders>
              <w:top w:val="nil"/>
              <w:left w:val="single" w:sz="4" w:space="0" w:color="auto"/>
              <w:bottom w:val="single" w:sz="4" w:space="0" w:color="auto"/>
              <w:right w:val="nil"/>
            </w:tcBorders>
            <w:shd w:val="clear" w:color="auto" w:fill="auto"/>
            <w:vAlign w:val="center"/>
            <w:hideMark/>
          </w:tcPr>
          <w:p w:rsidR="00916EA3" w:rsidRPr="001A3975" w:rsidRDefault="00916EA3" w:rsidP="00916EA3">
            <w:pPr>
              <w:rPr>
                <w:rFonts w:ascii="Arial" w:hAnsi="Arial" w:cs="Arial"/>
                <w:color w:val="000000"/>
                <w:sz w:val="20"/>
                <w:szCs w:val="20"/>
              </w:rPr>
            </w:pPr>
            <w:r w:rsidRPr="001A3975">
              <w:rPr>
                <w:rFonts w:ascii="Arial" w:hAnsi="Arial" w:cs="Arial"/>
                <w:color w:val="000000"/>
                <w:sz w:val="20"/>
                <w:szCs w:val="20"/>
              </w:rPr>
              <w:t>1 000 salariés ou plus</w:t>
            </w:r>
          </w:p>
        </w:tc>
        <w:tc>
          <w:tcPr>
            <w:tcW w:w="1002" w:type="dxa"/>
            <w:tcBorders>
              <w:top w:val="nil"/>
              <w:left w:val="single" w:sz="4" w:space="0" w:color="auto"/>
              <w:bottom w:val="single" w:sz="4" w:space="0" w:color="auto"/>
              <w:right w:val="single" w:sz="4" w:space="0" w:color="auto"/>
            </w:tcBorders>
            <w:shd w:val="clear" w:color="auto" w:fill="auto"/>
            <w:vAlign w:val="center"/>
            <w:hideMark/>
          </w:tcPr>
          <w:p w:rsidR="00916EA3" w:rsidRPr="001A3975" w:rsidRDefault="00916EA3" w:rsidP="009014A4">
            <w:pPr>
              <w:jc w:val="center"/>
              <w:rPr>
                <w:rFonts w:ascii="Arial" w:hAnsi="Arial" w:cs="Arial"/>
                <w:color w:val="000000"/>
                <w:sz w:val="20"/>
                <w:szCs w:val="20"/>
              </w:rPr>
            </w:pPr>
            <w:r w:rsidRPr="001A3975">
              <w:rPr>
                <w:rFonts w:ascii="Arial" w:hAnsi="Arial" w:cs="Arial"/>
                <w:color w:val="000000"/>
                <w:sz w:val="20"/>
                <w:szCs w:val="20"/>
              </w:rPr>
              <w:t>3,5</w:t>
            </w:r>
          </w:p>
        </w:tc>
      </w:tr>
      <w:tr w:rsidR="00916EA3" w:rsidRPr="001A3975" w:rsidTr="00916EA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auto" w:fill="auto"/>
            <w:vAlign w:val="center"/>
          </w:tcPr>
          <w:p w:rsidR="00916EA3" w:rsidRPr="001A3975" w:rsidRDefault="00916EA3" w:rsidP="00916EA3">
            <w:pPr>
              <w:rPr>
                <w:rFonts w:ascii="Arial" w:hAnsi="Arial" w:cs="Arial"/>
                <w:b/>
                <w:color w:val="000000"/>
                <w:sz w:val="20"/>
                <w:szCs w:val="20"/>
              </w:rPr>
            </w:pPr>
            <w:r w:rsidRPr="001A3975">
              <w:rPr>
                <w:rFonts w:ascii="Arial" w:hAnsi="Arial" w:cs="Arial"/>
                <w:b/>
                <w:color w:val="000000"/>
                <w:sz w:val="20"/>
                <w:szCs w:val="20"/>
              </w:rPr>
              <w:t>Entreprises d’au moins 50 salariés</w:t>
            </w:r>
          </w:p>
        </w:tc>
        <w:tc>
          <w:tcPr>
            <w:tcW w:w="1002" w:type="dxa"/>
            <w:tcBorders>
              <w:top w:val="single" w:sz="4" w:space="0" w:color="auto"/>
              <w:left w:val="nil"/>
              <w:bottom w:val="single" w:sz="4" w:space="0" w:color="auto"/>
              <w:right w:val="single" w:sz="4" w:space="0" w:color="auto"/>
            </w:tcBorders>
            <w:shd w:val="clear" w:color="auto" w:fill="auto"/>
            <w:vAlign w:val="center"/>
          </w:tcPr>
          <w:p w:rsidR="00916EA3" w:rsidRPr="001A3975" w:rsidRDefault="00916EA3" w:rsidP="009014A4">
            <w:pPr>
              <w:jc w:val="center"/>
              <w:rPr>
                <w:rFonts w:ascii="Arial" w:hAnsi="Arial" w:cs="Arial"/>
                <w:b/>
                <w:color w:val="000000"/>
                <w:sz w:val="20"/>
                <w:szCs w:val="20"/>
              </w:rPr>
            </w:pPr>
            <w:r w:rsidRPr="001A3975">
              <w:rPr>
                <w:rFonts w:ascii="Arial" w:hAnsi="Arial" w:cs="Arial"/>
                <w:b/>
                <w:color w:val="000000"/>
                <w:sz w:val="20"/>
                <w:szCs w:val="20"/>
              </w:rPr>
              <w:t>3,8</w:t>
            </w:r>
          </w:p>
        </w:tc>
      </w:tr>
      <w:tr w:rsidR="00916EA3" w:rsidRPr="001A3975" w:rsidTr="00916EA3">
        <w:trPr>
          <w:trHeight w:val="30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916EA3" w:rsidRPr="001A3975" w:rsidRDefault="00916EA3" w:rsidP="00916EA3">
            <w:pPr>
              <w:rPr>
                <w:rFonts w:ascii="Arial" w:hAnsi="Arial" w:cs="Arial"/>
                <w:b/>
                <w:color w:val="000000"/>
                <w:sz w:val="20"/>
                <w:szCs w:val="20"/>
              </w:rPr>
            </w:pPr>
            <w:r w:rsidRPr="001A3975">
              <w:rPr>
                <w:rFonts w:ascii="Arial" w:hAnsi="Arial" w:cs="Arial"/>
                <w:b/>
                <w:color w:val="000000"/>
                <w:sz w:val="20"/>
                <w:szCs w:val="20"/>
              </w:rPr>
              <w:t>Ensemble des entreprises</w:t>
            </w:r>
          </w:p>
        </w:tc>
        <w:tc>
          <w:tcPr>
            <w:tcW w:w="1002" w:type="dxa"/>
            <w:tcBorders>
              <w:top w:val="nil"/>
              <w:left w:val="nil"/>
              <w:bottom w:val="single" w:sz="4" w:space="0" w:color="auto"/>
              <w:right w:val="single" w:sz="4" w:space="0" w:color="auto"/>
            </w:tcBorders>
            <w:shd w:val="clear" w:color="auto" w:fill="auto"/>
            <w:vAlign w:val="center"/>
            <w:hideMark/>
          </w:tcPr>
          <w:p w:rsidR="00916EA3" w:rsidRPr="001A3975" w:rsidRDefault="00916EA3" w:rsidP="009014A4">
            <w:pPr>
              <w:jc w:val="center"/>
              <w:rPr>
                <w:rFonts w:ascii="Arial" w:hAnsi="Arial" w:cs="Arial"/>
                <w:b/>
                <w:color w:val="000000"/>
                <w:sz w:val="20"/>
                <w:szCs w:val="20"/>
              </w:rPr>
            </w:pPr>
            <w:r w:rsidRPr="001A3975">
              <w:rPr>
                <w:rFonts w:ascii="Arial" w:hAnsi="Arial" w:cs="Arial"/>
                <w:b/>
                <w:color w:val="000000"/>
                <w:sz w:val="20"/>
                <w:szCs w:val="20"/>
              </w:rPr>
              <w:t>3,8</w:t>
            </w:r>
          </w:p>
        </w:tc>
      </w:tr>
    </w:tbl>
    <w:p w:rsidR="00916EA3" w:rsidRPr="001A3975" w:rsidRDefault="00916EA3" w:rsidP="009014A4">
      <w:pPr>
        <w:autoSpaceDE w:val="0"/>
        <w:autoSpaceDN w:val="0"/>
        <w:adjustRightInd w:val="0"/>
        <w:spacing w:after="0" w:line="240" w:lineRule="auto"/>
        <w:ind w:left="2410"/>
        <w:jc w:val="both"/>
        <w:rPr>
          <w:rFonts w:ascii="Arial" w:hAnsi="Arial" w:cs="Arial"/>
          <w:bCs/>
          <w:i/>
          <w:sz w:val="16"/>
          <w:szCs w:val="16"/>
        </w:rPr>
      </w:pPr>
      <w:r w:rsidRPr="001A3975">
        <w:rPr>
          <w:rFonts w:ascii="Arial" w:hAnsi="Arial" w:cs="Arial"/>
          <w:bCs/>
          <w:i/>
          <w:sz w:val="16"/>
          <w:szCs w:val="16"/>
        </w:rPr>
        <w:t>Note de lecture : le poids de la participation correspond ici au rapport entre la participation totale versée en 2016 et la masse salariale totale brute versée en 2015</w:t>
      </w:r>
    </w:p>
    <w:p w:rsidR="00916EA3" w:rsidRPr="001A3975" w:rsidRDefault="00916EA3" w:rsidP="009014A4">
      <w:pPr>
        <w:autoSpaceDE w:val="0"/>
        <w:autoSpaceDN w:val="0"/>
        <w:adjustRightInd w:val="0"/>
        <w:spacing w:after="0" w:line="240" w:lineRule="auto"/>
        <w:ind w:left="2410"/>
        <w:jc w:val="both"/>
        <w:rPr>
          <w:rFonts w:ascii="Arial" w:hAnsi="Arial" w:cs="Arial"/>
          <w:bCs/>
          <w:i/>
          <w:sz w:val="16"/>
          <w:szCs w:val="16"/>
        </w:rPr>
      </w:pPr>
      <w:r w:rsidRPr="001A3975">
        <w:rPr>
          <w:rFonts w:ascii="Arial" w:hAnsi="Arial" w:cs="Arial"/>
          <w:bCs/>
          <w:i/>
          <w:sz w:val="16"/>
          <w:szCs w:val="16"/>
        </w:rPr>
        <w:t>Champ : entreprises de 10 salariés ou plus qui ont distribué une prime de participation</w:t>
      </w:r>
    </w:p>
    <w:p w:rsidR="00916EA3" w:rsidRPr="009014A4" w:rsidRDefault="00916EA3" w:rsidP="009014A4">
      <w:pPr>
        <w:autoSpaceDE w:val="0"/>
        <w:autoSpaceDN w:val="0"/>
        <w:adjustRightInd w:val="0"/>
        <w:spacing w:after="0" w:line="240" w:lineRule="auto"/>
        <w:ind w:left="2410"/>
        <w:jc w:val="both"/>
        <w:rPr>
          <w:rFonts w:ascii="Arial" w:hAnsi="Arial" w:cs="Arial"/>
          <w:bCs/>
          <w:i/>
          <w:sz w:val="16"/>
          <w:szCs w:val="16"/>
        </w:rPr>
      </w:pPr>
      <w:r w:rsidRPr="001A3975">
        <w:rPr>
          <w:rFonts w:ascii="Arial" w:hAnsi="Arial" w:cs="Arial"/>
          <w:bCs/>
          <w:i/>
          <w:sz w:val="16"/>
          <w:szCs w:val="16"/>
        </w:rPr>
        <w:t>Source : DARES, enquêtes Acemo-PIPA 2016</w:t>
      </w:r>
    </w:p>
    <w:p w:rsidR="00916EA3" w:rsidRDefault="00916EA3" w:rsidP="00916EA3">
      <w:pPr>
        <w:autoSpaceDE w:val="0"/>
        <w:autoSpaceDN w:val="0"/>
        <w:adjustRightInd w:val="0"/>
        <w:jc w:val="center"/>
        <w:rPr>
          <w:rFonts w:ascii="Arial" w:hAnsi="Arial" w:cs="Arial"/>
          <w:b/>
          <w:bCs/>
          <w:sz w:val="26"/>
          <w:szCs w:val="26"/>
        </w:rPr>
      </w:pPr>
    </w:p>
    <w:p w:rsidR="00F85D64" w:rsidRDefault="00F85D64" w:rsidP="00916EA3">
      <w:pPr>
        <w:autoSpaceDE w:val="0"/>
        <w:autoSpaceDN w:val="0"/>
        <w:adjustRightInd w:val="0"/>
        <w:jc w:val="center"/>
        <w:rPr>
          <w:rFonts w:ascii="Arial" w:hAnsi="Arial" w:cs="Arial"/>
          <w:b/>
          <w:bCs/>
          <w:sz w:val="26"/>
          <w:szCs w:val="26"/>
        </w:rPr>
      </w:pPr>
    </w:p>
    <w:p w:rsidR="00916EA3" w:rsidRPr="002B6FDE" w:rsidRDefault="00916EA3" w:rsidP="00916EA3">
      <w:pPr>
        <w:autoSpaceDE w:val="0"/>
        <w:autoSpaceDN w:val="0"/>
        <w:adjustRightInd w:val="0"/>
        <w:jc w:val="center"/>
        <w:rPr>
          <w:rFonts w:ascii="Arial" w:hAnsi="Arial" w:cs="Arial"/>
          <w:b/>
          <w:bCs/>
          <w:sz w:val="26"/>
          <w:szCs w:val="26"/>
        </w:rPr>
      </w:pPr>
      <w:r w:rsidRPr="002B6FDE">
        <w:rPr>
          <w:rFonts w:ascii="Arial" w:hAnsi="Arial" w:cs="Arial"/>
          <w:b/>
          <w:bCs/>
          <w:sz w:val="26"/>
          <w:szCs w:val="26"/>
        </w:rPr>
        <w:t xml:space="preserve">Fiche </w:t>
      </w:r>
      <w:r>
        <w:rPr>
          <w:rFonts w:ascii="Arial" w:hAnsi="Arial" w:cs="Arial"/>
          <w:b/>
          <w:bCs/>
          <w:sz w:val="26"/>
          <w:szCs w:val="26"/>
        </w:rPr>
        <w:t>4</w:t>
      </w:r>
      <w:r w:rsidRPr="002B6FDE">
        <w:rPr>
          <w:rFonts w:ascii="Arial" w:hAnsi="Arial" w:cs="Arial"/>
          <w:b/>
          <w:bCs/>
          <w:sz w:val="26"/>
          <w:szCs w:val="26"/>
        </w:rPr>
        <w:t xml:space="preserve"> : </w:t>
      </w:r>
      <w:r>
        <w:rPr>
          <w:rFonts w:ascii="Arial" w:hAnsi="Arial" w:cs="Arial"/>
          <w:b/>
          <w:bCs/>
          <w:sz w:val="26"/>
          <w:szCs w:val="26"/>
        </w:rPr>
        <w:t>Montants de participation directement versés aux salariés</w:t>
      </w:r>
    </w:p>
    <w:p w:rsidR="00916EA3" w:rsidRPr="00910911" w:rsidRDefault="00916EA3" w:rsidP="00916EA3">
      <w:pPr>
        <w:autoSpaceDE w:val="0"/>
        <w:autoSpaceDN w:val="0"/>
        <w:adjustRightInd w:val="0"/>
        <w:jc w:val="both"/>
        <w:rPr>
          <w:rFonts w:ascii="Arial" w:hAnsi="Arial" w:cs="Arial"/>
          <w:bCs/>
          <w:sz w:val="20"/>
          <w:szCs w:val="20"/>
        </w:rPr>
      </w:pPr>
      <w:r w:rsidRPr="00910911">
        <w:rPr>
          <w:rFonts w:ascii="Arial" w:hAnsi="Arial" w:cs="Arial"/>
          <w:bCs/>
          <w:sz w:val="20"/>
          <w:szCs w:val="20"/>
        </w:rPr>
        <w:t>En 2016, sur les 5,9 Mds d’euros nets versés au titre de la participation sur l’exercice 2015</w:t>
      </w:r>
      <w:r>
        <w:rPr>
          <w:rFonts w:ascii="Arial" w:hAnsi="Arial" w:cs="Arial"/>
          <w:bCs/>
          <w:sz w:val="20"/>
          <w:szCs w:val="20"/>
        </w:rPr>
        <w:t xml:space="preserve"> </w:t>
      </w:r>
      <w:r w:rsidRPr="00910911">
        <w:rPr>
          <w:rFonts w:ascii="Arial" w:hAnsi="Arial" w:cs="Arial"/>
          <w:bCs/>
          <w:sz w:val="20"/>
          <w:szCs w:val="20"/>
        </w:rPr>
        <w:t xml:space="preserve">par les entreprises de 10 salariés ou plus, 2,2 Mds ont été versés directement aux salariés </w:t>
      </w:r>
      <w:r>
        <w:rPr>
          <w:rFonts w:ascii="Arial" w:hAnsi="Arial" w:cs="Arial"/>
          <w:bCs/>
          <w:sz w:val="20"/>
          <w:szCs w:val="20"/>
        </w:rPr>
        <w:t xml:space="preserve">(tableau 1). </w:t>
      </w:r>
    </w:p>
    <w:p w:rsidR="00916EA3" w:rsidRDefault="00916EA3" w:rsidP="00916EA3">
      <w:pPr>
        <w:autoSpaceDE w:val="0"/>
        <w:autoSpaceDN w:val="0"/>
        <w:adjustRightInd w:val="0"/>
        <w:jc w:val="both"/>
        <w:rPr>
          <w:rFonts w:ascii="Arial" w:hAnsi="Arial" w:cs="Arial"/>
          <w:bCs/>
          <w:sz w:val="20"/>
          <w:szCs w:val="20"/>
        </w:rPr>
      </w:pPr>
      <w:r w:rsidRPr="00910911">
        <w:rPr>
          <w:rFonts w:ascii="Arial" w:hAnsi="Arial" w:cs="Arial"/>
          <w:bCs/>
          <w:sz w:val="20"/>
          <w:szCs w:val="20"/>
        </w:rPr>
        <w:t>Le versement à la demande des salariés s’élève en moyenne à un tiers du montant de participation</w:t>
      </w:r>
      <w:r w:rsidRPr="00FA68BE">
        <w:rPr>
          <w:rFonts w:ascii="Arial" w:hAnsi="Arial" w:cs="Arial"/>
          <w:bCs/>
          <w:sz w:val="20"/>
          <w:szCs w:val="20"/>
        </w:rPr>
        <w:t xml:space="preserve"> </w:t>
      </w:r>
      <w:r>
        <w:rPr>
          <w:rFonts w:ascii="Arial" w:hAnsi="Arial" w:cs="Arial"/>
          <w:bCs/>
          <w:sz w:val="20"/>
          <w:szCs w:val="20"/>
        </w:rPr>
        <w:t>dans les entreprises de 50 salariés ou plus. Cette proportion diminue au fur et à mesure que la taille de l’entreprise augmente. Elle s’établit à 42 % dans les entreprises de 50 à 99 salariés et à 35 % dans les entreprises de 500 salariés ou plus.</w:t>
      </w:r>
    </w:p>
    <w:p w:rsidR="00916EA3" w:rsidRDefault="00916EA3" w:rsidP="00916EA3">
      <w:pPr>
        <w:autoSpaceDE w:val="0"/>
        <w:autoSpaceDN w:val="0"/>
        <w:adjustRightInd w:val="0"/>
        <w:jc w:val="both"/>
        <w:rPr>
          <w:rFonts w:ascii="Arial" w:hAnsi="Arial" w:cs="Arial"/>
          <w:bCs/>
          <w:sz w:val="20"/>
          <w:szCs w:val="20"/>
        </w:rPr>
      </w:pPr>
      <w:r>
        <w:rPr>
          <w:rFonts w:ascii="Arial" w:hAnsi="Arial" w:cs="Arial"/>
          <w:bCs/>
          <w:sz w:val="20"/>
          <w:szCs w:val="20"/>
        </w:rPr>
        <w:t>Dans les entreprises de 50 salariés ou plus, e</w:t>
      </w:r>
      <w:r w:rsidRPr="00910911">
        <w:rPr>
          <w:rFonts w:ascii="Arial" w:hAnsi="Arial" w:cs="Arial"/>
          <w:bCs/>
          <w:sz w:val="20"/>
          <w:szCs w:val="20"/>
        </w:rPr>
        <w:t>l</w:t>
      </w:r>
      <w:r>
        <w:rPr>
          <w:rFonts w:ascii="Arial" w:hAnsi="Arial" w:cs="Arial"/>
          <w:bCs/>
          <w:sz w:val="20"/>
          <w:szCs w:val="20"/>
        </w:rPr>
        <w:t>le</w:t>
      </w:r>
      <w:r w:rsidRPr="00910911">
        <w:rPr>
          <w:rFonts w:ascii="Arial" w:hAnsi="Arial" w:cs="Arial"/>
          <w:bCs/>
          <w:sz w:val="20"/>
          <w:szCs w:val="20"/>
        </w:rPr>
        <w:t xml:space="preserve"> est l</w:t>
      </w:r>
      <w:r>
        <w:rPr>
          <w:rFonts w:ascii="Arial" w:hAnsi="Arial" w:cs="Arial"/>
          <w:bCs/>
          <w:sz w:val="20"/>
          <w:szCs w:val="20"/>
        </w:rPr>
        <w:t>a</w:t>
      </w:r>
      <w:r w:rsidRPr="00910911">
        <w:rPr>
          <w:rFonts w:ascii="Arial" w:hAnsi="Arial" w:cs="Arial"/>
          <w:bCs/>
          <w:sz w:val="20"/>
          <w:szCs w:val="20"/>
        </w:rPr>
        <w:t xml:space="preserve"> plus élevé</w:t>
      </w:r>
      <w:r>
        <w:rPr>
          <w:rFonts w:ascii="Arial" w:hAnsi="Arial" w:cs="Arial"/>
          <w:bCs/>
          <w:sz w:val="20"/>
          <w:szCs w:val="20"/>
        </w:rPr>
        <w:t>e</w:t>
      </w:r>
      <w:r w:rsidRPr="00910911">
        <w:rPr>
          <w:rFonts w:ascii="Arial" w:hAnsi="Arial" w:cs="Arial"/>
          <w:bCs/>
          <w:sz w:val="20"/>
          <w:szCs w:val="20"/>
        </w:rPr>
        <w:t xml:space="preserve"> dans les secteurs de la construction</w:t>
      </w:r>
      <w:r>
        <w:rPr>
          <w:rFonts w:ascii="Arial" w:hAnsi="Arial" w:cs="Arial"/>
          <w:bCs/>
          <w:sz w:val="20"/>
          <w:szCs w:val="20"/>
        </w:rPr>
        <w:t xml:space="preserve"> et</w:t>
      </w:r>
      <w:r w:rsidRPr="00910911">
        <w:rPr>
          <w:rFonts w:ascii="Arial" w:hAnsi="Arial" w:cs="Arial"/>
          <w:bCs/>
          <w:sz w:val="20"/>
          <w:szCs w:val="20"/>
        </w:rPr>
        <w:t xml:space="preserve"> de la partie privée du secteur de l’Administration publique, enseignement, sa</w:t>
      </w:r>
      <w:r>
        <w:rPr>
          <w:rFonts w:ascii="Arial" w:hAnsi="Arial" w:cs="Arial"/>
          <w:bCs/>
          <w:sz w:val="20"/>
          <w:szCs w:val="20"/>
        </w:rPr>
        <w:t>nté humaine et action sociale (respectivement, 64 % et 59</w:t>
      </w:r>
      <w:r w:rsidRPr="00910911">
        <w:rPr>
          <w:rFonts w:ascii="Arial" w:hAnsi="Arial" w:cs="Arial"/>
          <w:bCs/>
          <w:sz w:val="20"/>
          <w:szCs w:val="20"/>
        </w:rPr>
        <w:t> %</w:t>
      </w:r>
      <w:r>
        <w:rPr>
          <w:rFonts w:ascii="Arial" w:hAnsi="Arial" w:cs="Arial"/>
          <w:bCs/>
          <w:sz w:val="20"/>
          <w:szCs w:val="20"/>
        </w:rPr>
        <w:t>, tableau 2</w:t>
      </w:r>
      <w:r w:rsidRPr="00910911">
        <w:rPr>
          <w:rFonts w:ascii="Arial" w:hAnsi="Arial" w:cs="Arial"/>
          <w:bCs/>
          <w:sz w:val="20"/>
          <w:szCs w:val="20"/>
        </w:rPr>
        <w:t xml:space="preserve">). </w:t>
      </w:r>
      <w:r>
        <w:rPr>
          <w:rFonts w:ascii="Arial" w:hAnsi="Arial" w:cs="Arial"/>
          <w:bCs/>
          <w:sz w:val="20"/>
          <w:szCs w:val="20"/>
        </w:rPr>
        <w:t>E</w:t>
      </w:r>
      <w:r w:rsidRPr="00910911">
        <w:rPr>
          <w:rFonts w:ascii="Arial" w:hAnsi="Arial" w:cs="Arial"/>
          <w:bCs/>
          <w:sz w:val="20"/>
          <w:szCs w:val="20"/>
        </w:rPr>
        <w:t>l</w:t>
      </w:r>
      <w:r>
        <w:rPr>
          <w:rFonts w:ascii="Arial" w:hAnsi="Arial" w:cs="Arial"/>
          <w:bCs/>
          <w:sz w:val="20"/>
          <w:szCs w:val="20"/>
        </w:rPr>
        <w:t>le</w:t>
      </w:r>
      <w:r w:rsidRPr="00910911">
        <w:rPr>
          <w:rFonts w:ascii="Arial" w:hAnsi="Arial" w:cs="Arial"/>
          <w:bCs/>
          <w:sz w:val="20"/>
          <w:szCs w:val="20"/>
        </w:rPr>
        <w:t xml:space="preserve"> est l</w:t>
      </w:r>
      <w:r>
        <w:rPr>
          <w:rFonts w:ascii="Arial" w:hAnsi="Arial" w:cs="Arial"/>
          <w:bCs/>
          <w:sz w:val="20"/>
          <w:szCs w:val="20"/>
        </w:rPr>
        <w:t>a</w:t>
      </w:r>
      <w:r w:rsidRPr="00910911">
        <w:rPr>
          <w:rFonts w:ascii="Arial" w:hAnsi="Arial" w:cs="Arial"/>
          <w:bCs/>
          <w:sz w:val="20"/>
          <w:szCs w:val="20"/>
        </w:rPr>
        <w:t xml:space="preserve"> plus faible dans les activités financières</w:t>
      </w:r>
      <w:r>
        <w:rPr>
          <w:rFonts w:ascii="Arial" w:hAnsi="Arial" w:cs="Arial"/>
          <w:bCs/>
          <w:sz w:val="20"/>
          <w:szCs w:val="20"/>
        </w:rPr>
        <w:t xml:space="preserve"> et d’assurance</w:t>
      </w:r>
      <w:r w:rsidRPr="00910911">
        <w:rPr>
          <w:rFonts w:ascii="Arial" w:hAnsi="Arial" w:cs="Arial"/>
          <w:bCs/>
          <w:sz w:val="20"/>
          <w:szCs w:val="20"/>
        </w:rPr>
        <w:t xml:space="preserve"> (2</w:t>
      </w:r>
      <w:r>
        <w:rPr>
          <w:rFonts w:ascii="Arial" w:hAnsi="Arial" w:cs="Arial"/>
          <w:bCs/>
          <w:sz w:val="20"/>
          <w:szCs w:val="20"/>
        </w:rPr>
        <w:t>7</w:t>
      </w:r>
      <w:r w:rsidRPr="00910911">
        <w:rPr>
          <w:rFonts w:ascii="Arial" w:hAnsi="Arial" w:cs="Arial"/>
          <w:bCs/>
          <w:sz w:val="20"/>
          <w:szCs w:val="20"/>
        </w:rPr>
        <w:t> %).</w:t>
      </w:r>
    </w:p>
    <w:p w:rsidR="00916EA3" w:rsidRPr="00910911" w:rsidRDefault="00916EA3" w:rsidP="00916EA3">
      <w:pPr>
        <w:autoSpaceDE w:val="0"/>
        <w:autoSpaceDN w:val="0"/>
        <w:adjustRightInd w:val="0"/>
        <w:jc w:val="both"/>
        <w:rPr>
          <w:rFonts w:ascii="Arial" w:hAnsi="Arial" w:cs="Arial"/>
          <w:bCs/>
          <w:sz w:val="20"/>
          <w:szCs w:val="20"/>
        </w:rPr>
      </w:pPr>
      <w:r>
        <w:rPr>
          <w:rFonts w:ascii="Arial" w:hAnsi="Arial" w:cs="Arial"/>
          <w:bCs/>
          <w:sz w:val="20"/>
          <w:szCs w:val="20"/>
        </w:rPr>
        <w:t xml:space="preserve">Dans les 30 % d’entreprises de 50 salariés ou plus proposant les rémunérations annuelles moyennes les plus faibles, 52 % des montants sont versés directement aux salariés alors qu’il n’y en a que 31 % </w:t>
      </w:r>
      <w:r>
        <w:rPr>
          <w:rFonts w:ascii="Arial" w:hAnsi="Arial" w:cs="Arial"/>
          <w:bCs/>
          <w:sz w:val="20"/>
          <w:szCs w:val="20"/>
        </w:rPr>
        <w:lastRenderedPageBreak/>
        <w:t>dans les 30 % d’entreprises proposant les rémunérations annuelles moyennes les plus élevées (tableau 3).</w:t>
      </w:r>
    </w:p>
    <w:p w:rsidR="00916EA3" w:rsidRDefault="00916EA3" w:rsidP="00916EA3">
      <w:pPr>
        <w:autoSpaceDE w:val="0"/>
        <w:autoSpaceDN w:val="0"/>
        <w:adjustRightInd w:val="0"/>
        <w:jc w:val="center"/>
        <w:rPr>
          <w:rFonts w:ascii="Arial" w:hAnsi="Arial" w:cs="Arial"/>
          <w:b/>
          <w:bCs/>
          <w:sz w:val="20"/>
          <w:szCs w:val="20"/>
        </w:rPr>
      </w:pPr>
      <w:r w:rsidRPr="00910911">
        <w:rPr>
          <w:rFonts w:ascii="Arial" w:hAnsi="Arial" w:cs="Arial"/>
          <w:b/>
          <w:bCs/>
          <w:sz w:val="20"/>
          <w:szCs w:val="20"/>
        </w:rPr>
        <w:t xml:space="preserve">Tableau 1 : </w:t>
      </w:r>
      <w:r>
        <w:rPr>
          <w:rFonts w:ascii="Arial" w:hAnsi="Arial" w:cs="Arial"/>
          <w:b/>
          <w:bCs/>
          <w:sz w:val="20"/>
          <w:szCs w:val="20"/>
        </w:rPr>
        <w:t>Montants de participation directement versés aux salariés</w:t>
      </w:r>
    </w:p>
    <w:p w:rsidR="00916EA3" w:rsidRPr="00910911" w:rsidRDefault="00916EA3" w:rsidP="00916EA3">
      <w:pPr>
        <w:autoSpaceDE w:val="0"/>
        <w:autoSpaceDN w:val="0"/>
        <w:adjustRightInd w:val="0"/>
        <w:jc w:val="center"/>
        <w:rPr>
          <w:rFonts w:ascii="Arial" w:hAnsi="Arial" w:cs="Arial"/>
          <w:bCs/>
          <w:sz w:val="20"/>
          <w:szCs w:val="20"/>
        </w:rPr>
      </w:pPr>
      <w:r w:rsidRPr="00910911">
        <w:rPr>
          <w:rFonts w:ascii="Arial" w:hAnsi="Arial" w:cs="Arial"/>
          <w:b/>
          <w:bCs/>
          <w:sz w:val="20"/>
          <w:szCs w:val="20"/>
        </w:rPr>
        <w:t>par taille d’entreprise</w:t>
      </w:r>
    </w:p>
    <w:tbl>
      <w:tblPr>
        <w:tblW w:w="8858" w:type="dxa"/>
        <w:jc w:val="center"/>
        <w:tblInd w:w="-229" w:type="dxa"/>
        <w:tblCellMar>
          <w:left w:w="70" w:type="dxa"/>
          <w:right w:w="70" w:type="dxa"/>
        </w:tblCellMar>
        <w:tblLook w:val="04A0" w:firstRow="1" w:lastRow="0" w:firstColumn="1" w:lastColumn="0" w:noHBand="0" w:noVBand="1"/>
      </w:tblPr>
      <w:tblGrid>
        <w:gridCol w:w="3624"/>
        <w:gridCol w:w="1744"/>
        <w:gridCol w:w="1745"/>
        <w:gridCol w:w="1745"/>
      </w:tblGrid>
      <w:tr w:rsidR="00916EA3" w:rsidRPr="00910911" w:rsidTr="00916EA3">
        <w:trPr>
          <w:trHeight w:val="555"/>
          <w:jc w:val="center"/>
        </w:trPr>
        <w:tc>
          <w:tcPr>
            <w:tcW w:w="3624" w:type="dxa"/>
            <w:tcBorders>
              <w:top w:val="single" w:sz="4" w:space="0" w:color="auto"/>
              <w:left w:val="single" w:sz="4" w:space="0" w:color="auto"/>
              <w:bottom w:val="single" w:sz="4" w:space="0" w:color="000000"/>
              <w:right w:val="single" w:sz="4" w:space="0" w:color="auto"/>
            </w:tcBorders>
            <w:vAlign w:val="center"/>
            <w:hideMark/>
          </w:tcPr>
          <w:p w:rsidR="00916EA3" w:rsidRPr="00910911" w:rsidRDefault="00916EA3" w:rsidP="00916EA3">
            <w:pPr>
              <w:jc w:val="center"/>
              <w:rPr>
                <w:rFonts w:ascii="Arial" w:hAnsi="Arial" w:cs="Arial"/>
                <w:color w:val="000000"/>
                <w:sz w:val="20"/>
                <w:szCs w:val="20"/>
              </w:rPr>
            </w:pPr>
            <w:r>
              <w:rPr>
                <w:rFonts w:ascii="Arial" w:hAnsi="Arial" w:cs="Arial"/>
                <w:color w:val="000000"/>
                <w:sz w:val="20"/>
                <w:szCs w:val="20"/>
              </w:rPr>
              <w:t>Taille de l’entreprise</w:t>
            </w:r>
          </w:p>
        </w:tc>
        <w:tc>
          <w:tcPr>
            <w:tcW w:w="1744" w:type="dxa"/>
            <w:tcBorders>
              <w:top w:val="single" w:sz="4" w:space="0" w:color="auto"/>
              <w:left w:val="single" w:sz="4" w:space="0" w:color="auto"/>
              <w:bottom w:val="single" w:sz="4" w:space="0" w:color="auto"/>
              <w:right w:val="single" w:sz="4" w:space="0" w:color="auto"/>
            </w:tcBorders>
            <w:vAlign w:val="center"/>
            <w:hideMark/>
          </w:tcPr>
          <w:p w:rsidR="00916EA3" w:rsidRPr="00910911" w:rsidRDefault="00916EA3" w:rsidP="00916EA3">
            <w:pPr>
              <w:jc w:val="center"/>
              <w:rPr>
                <w:rFonts w:ascii="Arial" w:hAnsi="Arial" w:cs="Arial"/>
                <w:color w:val="000000"/>
                <w:sz w:val="20"/>
                <w:szCs w:val="20"/>
              </w:rPr>
            </w:pPr>
            <w:r>
              <w:rPr>
                <w:rFonts w:ascii="Arial" w:hAnsi="Arial" w:cs="Arial"/>
                <w:color w:val="000000"/>
                <w:sz w:val="20"/>
                <w:szCs w:val="20"/>
              </w:rPr>
              <w:t>Montant total versé (M€)</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916EA3" w:rsidRPr="00910911" w:rsidRDefault="00916EA3" w:rsidP="00916EA3">
            <w:pPr>
              <w:jc w:val="center"/>
              <w:rPr>
                <w:rFonts w:ascii="Arial" w:hAnsi="Arial" w:cs="Arial"/>
                <w:color w:val="000000"/>
                <w:sz w:val="20"/>
                <w:szCs w:val="20"/>
              </w:rPr>
            </w:pPr>
            <w:r>
              <w:rPr>
                <w:rFonts w:ascii="Arial" w:hAnsi="Arial" w:cs="Arial"/>
                <w:color w:val="000000"/>
                <w:sz w:val="20"/>
                <w:szCs w:val="20"/>
              </w:rPr>
              <w:t>Montant versé directement aux salariés (M€)</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916EA3" w:rsidRPr="00910911" w:rsidRDefault="00916EA3" w:rsidP="00916EA3">
            <w:pPr>
              <w:jc w:val="center"/>
              <w:rPr>
                <w:rFonts w:ascii="Arial" w:hAnsi="Arial" w:cs="Arial"/>
                <w:color w:val="000000"/>
                <w:sz w:val="20"/>
                <w:szCs w:val="20"/>
              </w:rPr>
            </w:pPr>
            <w:r>
              <w:rPr>
                <w:rFonts w:ascii="Arial" w:hAnsi="Arial" w:cs="Arial"/>
                <w:color w:val="000000"/>
                <w:sz w:val="20"/>
                <w:szCs w:val="20"/>
              </w:rPr>
              <w:t>Part (%)</w:t>
            </w:r>
          </w:p>
        </w:tc>
      </w:tr>
      <w:tr w:rsidR="00916EA3" w:rsidRPr="00910911" w:rsidTr="00916EA3">
        <w:trPr>
          <w:trHeight w:val="300"/>
          <w:jc w:val="center"/>
        </w:trPr>
        <w:tc>
          <w:tcPr>
            <w:tcW w:w="3624" w:type="dxa"/>
            <w:tcBorders>
              <w:top w:val="nil"/>
              <w:left w:val="single" w:sz="4" w:space="0" w:color="auto"/>
              <w:bottom w:val="dashSmallGap" w:sz="4" w:space="0" w:color="auto"/>
              <w:right w:val="nil"/>
            </w:tcBorders>
            <w:shd w:val="clear" w:color="auto" w:fill="auto"/>
            <w:vAlign w:val="center"/>
            <w:hideMark/>
          </w:tcPr>
          <w:p w:rsidR="00916EA3" w:rsidRPr="00910911" w:rsidRDefault="00916EA3" w:rsidP="00916EA3">
            <w:pPr>
              <w:rPr>
                <w:rFonts w:ascii="Arial" w:hAnsi="Arial" w:cs="Arial"/>
                <w:color w:val="000000"/>
                <w:sz w:val="20"/>
                <w:szCs w:val="20"/>
              </w:rPr>
            </w:pPr>
            <w:r w:rsidRPr="00910911">
              <w:rPr>
                <w:rFonts w:ascii="Arial" w:hAnsi="Arial" w:cs="Arial"/>
                <w:color w:val="000000"/>
                <w:sz w:val="20"/>
                <w:szCs w:val="20"/>
              </w:rPr>
              <w:t>10 à 49</w:t>
            </w:r>
            <w:r>
              <w:rPr>
                <w:rFonts w:ascii="Arial" w:hAnsi="Arial" w:cs="Arial"/>
                <w:color w:val="000000"/>
                <w:sz w:val="20"/>
                <w:szCs w:val="20"/>
              </w:rPr>
              <w:t xml:space="preserve"> salariés</w:t>
            </w:r>
          </w:p>
        </w:tc>
        <w:tc>
          <w:tcPr>
            <w:tcW w:w="1744" w:type="dxa"/>
            <w:tcBorders>
              <w:top w:val="nil"/>
              <w:left w:val="single" w:sz="4" w:space="0" w:color="auto"/>
              <w:bottom w:val="dashSmallGap" w:sz="4" w:space="0" w:color="auto"/>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181</w:t>
            </w:r>
          </w:p>
        </w:tc>
        <w:tc>
          <w:tcPr>
            <w:tcW w:w="1745" w:type="dxa"/>
            <w:tcBorders>
              <w:top w:val="nil"/>
              <w:left w:val="nil"/>
              <w:bottom w:val="dashSmallGap" w:sz="4" w:space="0" w:color="auto"/>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69</w:t>
            </w:r>
          </w:p>
        </w:tc>
        <w:tc>
          <w:tcPr>
            <w:tcW w:w="1745" w:type="dxa"/>
            <w:tcBorders>
              <w:top w:val="nil"/>
              <w:left w:val="nil"/>
              <w:bottom w:val="dashSmallGap" w:sz="4" w:space="0" w:color="auto"/>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38</w:t>
            </w:r>
          </w:p>
        </w:tc>
      </w:tr>
      <w:tr w:rsidR="00916EA3" w:rsidRPr="00910911" w:rsidTr="00916EA3">
        <w:trPr>
          <w:trHeight w:val="300"/>
          <w:jc w:val="center"/>
        </w:trPr>
        <w:tc>
          <w:tcPr>
            <w:tcW w:w="3624" w:type="dxa"/>
            <w:tcBorders>
              <w:top w:val="dashSmallGap" w:sz="4" w:space="0" w:color="auto"/>
              <w:left w:val="single" w:sz="4" w:space="0" w:color="auto"/>
              <w:bottom w:val="nil"/>
              <w:right w:val="nil"/>
            </w:tcBorders>
            <w:shd w:val="clear" w:color="auto" w:fill="auto"/>
            <w:vAlign w:val="center"/>
            <w:hideMark/>
          </w:tcPr>
          <w:p w:rsidR="00916EA3" w:rsidRPr="00910911" w:rsidRDefault="00916EA3" w:rsidP="00916EA3">
            <w:pPr>
              <w:rPr>
                <w:rFonts w:ascii="Arial" w:hAnsi="Arial" w:cs="Arial"/>
                <w:color w:val="000000"/>
                <w:sz w:val="20"/>
                <w:szCs w:val="20"/>
              </w:rPr>
            </w:pPr>
            <w:r w:rsidRPr="00910911">
              <w:rPr>
                <w:rFonts w:ascii="Arial" w:hAnsi="Arial" w:cs="Arial"/>
                <w:color w:val="000000"/>
                <w:sz w:val="20"/>
                <w:szCs w:val="20"/>
              </w:rPr>
              <w:t>50 à 99</w:t>
            </w:r>
            <w:r>
              <w:rPr>
                <w:rFonts w:ascii="Arial" w:hAnsi="Arial" w:cs="Arial"/>
                <w:color w:val="000000"/>
                <w:sz w:val="20"/>
                <w:szCs w:val="20"/>
              </w:rPr>
              <w:t xml:space="preserve"> salariés</w:t>
            </w:r>
          </w:p>
        </w:tc>
        <w:tc>
          <w:tcPr>
            <w:tcW w:w="1744" w:type="dxa"/>
            <w:tcBorders>
              <w:top w:val="dashSmallGap" w:sz="4" w:space="0" w:color="auto"/>
              <w:left w:val="single" w:sz="4" w:space="0" w:color="auto"/>
              <w:bottom w:val="nil"/>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618</w:t>
            </w:r>
          </w:p>
        </w:tc>
        <w:tc>
          <w:tcPr>
            <w:tcW w:w="1745" w:type="dxa"/>
            <w:tcBorders>
              <w:top w:val="dashSmallGap" w:sz="4" w:space="0" w:color="auto"/>
              <w:left w:val="nil"/>
              <w:bottom w:val="nil"/>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257</w:t>
            </w:r>
          </w:p>
        </w:tc>
        <w:tc>
          <w:tcPr>
            <w:tcW w:w="1745" w:type="dxa"/>
            <w:tcBorders>
              <w:top w:val="dashSmallGap" w:sz="4" w:space="0" w:color="auto"/>
              <w:left w:val="nil"/>
              <w:bottom w:val="nil"/>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42</w:t>
            </w:r>
          </w:p>
        </w:tc>
      </w:tr>
      <w:tr w:rsidR="00916EA3" w:rsidRPr="00910911" w:rsidTr="00916EA3">
        <w:trPr>
          <w:trHeight w:val="300"/>
          <w:jc w:val="center"/>
        </w:trPr>
        <w:tc>
          <w:tcPr>
            <w:tcW w:w="3624" w:type="dxa"/>
            <w:tcBorders>
              <w:top w:val="nil"/>
              <w:left w:val="single" w:sz="4" w:space="0" w:color="auto"/>
              <w:bottom w:val="nil"/>
              <w:right w:val="nil"/>
            </w:tcBorders>
            <w:shd w:val="clear" w:color="auto" w:fill="auto"/>
            <w:vAlign w:val="center"/>
            <w:hideMark/>
          </w:tcPr>
          <w:p w:rsidR="00916EA3" w:rsidRPr="00910911" w:rsidRDefault="00916EA3" w:rsidP="00916EA3">
            <w:pPr>
              <w:rPr>
                <w:rFonts w:ascii="Arial" w:hAnsi="Arial" w:cs="Arial"/>
                <w:color w:val="000000"/>
                <w:sz w:val="20"/>
                <w:szCs w:val="20"/>
              </w:rPr>
            </w:pPr>
            <w:r w:rsidRPr="00910911">
              <w:rPr>
                <w:rFonts w:ascii="Arial" w:hAnsi="Arial" w:cs="Arial"/>
                <w:color w:val="000000"/>
                <w:sz w:val="20"/>
                <w:szCs w:val="20"/>
              </w:rPr>
              <w:t>100 à 249</w:t>
            </w:r>
            <w:r>
              <w:rPr>
                <w:rFonts w:ascii="Arial" w:hAnsi="Arial" w:cs="Arial"/>
                <w:color w:val="000000"/>
                <w:sz w:val="20"/>
                <w:szCs w:val="20"/>
              </w:rPr>
              <w:t xml:space="preserve"> salariés</w:t>
            </w:r>
          </w:p>
        </w:tc>
        <w:tc>
          <w:tcPr>
            <w:tcW w:w="1744" w:type="dxa"/>
            <w:tcBorders>
              <w:top w:val="nil"/>
              <w:left w:val="single" w:sz="4" w:space="0" w:color="auto"/>
              <w:bottom w:val="nil"/>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999</w:t>
            </w:r>
          </w:p>
        </w:tc>
        <w:tc>
          <w:tcPr>
            <w:tcW w:w="1745" w:type="dxa"/>
            <w:tcBorders>
              <w:top w:val="nil"/>
              <w:left w:val="nil"/>
              <w:bottom w:val="nil"/>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400</w:t>
            </w:r>
          </w:p>
        </w:tc>
        <w:tc>
          <w:tcPr>
            <w:tcW w:w="1745" w:type="dxa"/>
            <w:tcBorders>
              <w:top w:val="nil"/>
              <w:left w:val="nil"/>
              <w:bottom w:val="nil"/>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40</w:t>
            </w:r>
          </w:p>
        </w:tc>
      </w:tr>
      <w:tr w:rsidR="00916EA3" w:rsidRPr="00910911" w:rsidTr="00916EA3">
        <w:trPr>
          <w:trHeight w:val="300"/>
          <w:jc w:val="center"/>
        </w:trPr>
        <w:tc>
          <w:tcPr>
            <w:tcW w:w="3624" w:type="dxa"/>
            <w:tcBorders>
              <w:top w:val="nil"/>
              <w:left w:val="single" w:sz="4" w:space="0" w:color="auto"/>
              <w:bottom w:val="nil"/>
              <w:right w:val="nil"/>
            </w:tcBorders>
            <w:shd w:val="clear" w:color="auto" w:fill="auto"/>
            <w:vAlign w:val="center"/>
            <w:hideMark/>
          </w:tcPr>
          <w:p w:rsidR="00916EA3" w:rsidRPr="00910911" w:rsidRDefault="00916EA3" w:rsidP="00916EA3">
            <w:pPr>
              <w:rPr>
                <w:rFonts w:ascii="Arial" w:hAnsi="Arial" w:cs="Arial"/>
                <w:color w:val="000000"/>
                <w:sz w:val="20"/>
                <w:szCs w:val="20"/>
              </w:rPr>
            </w:pPr>
            <w:r w:rsidRPr="00910911">
              <w:rPr>
                <w:rFonts w:ascii="Arial" w:hAnsi="Arial" w:cs="Arial"/>
                <w:color w:val="000000"/>
                <w:sz w:val="20"/>
                <w:szCs w:val="20"/>
              </w:rPr>
              <w:t>250 à 499</w:t>
            </w:r>
            <w:r>
              <w:rPr>
                <w:rFonts w:ascii="Arial" w:hAnsi="Arial" w:cs="Arial"/>
                <w:color w:val="000000"/>
                <w:sz w:val="20"/>
                <w:szCs w:val="20"/>
              </w:rPr>
              <w:t xml:space="preserve"> salariés</w:t>
            </w:r>
          </w:p>
        </w:tc>
        <w:tc>
          <w:tcPr>
            <w:tcW w:w="1744" w:type="dxa"/>
            <w:tcBorders>
              <w:top w:val="nil"/>
              <w:left w:val="single" w:sz="4" w:space="0" w:color="auto"/>
              <w:bottom w:val="nil"/>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722</w:t>
            </w:r>
          </w:p>
        </w:tc>
        <w:tc>
          <w:tcPr>
            <w:tcW w:w="1745" w:type="dxa"/>
            <w:tcBorders>
              <w:top w:val="nil"/>
              <w:left w:val="nil"/>
              <w:bottom w:val="nil"/>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276</w:t>
            </w:r>
          </w:p>
        </w:tc>
        <w:tc>
          <w:tcPr>
            <w:tcW w:w="1745" w:type="dxa"/>
            <w:tcBorders>
              <w:top w:val="nil"/>
              <w:left w:val="nil"/>
              <w:bottom w:val="nil"/>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38</w:t>
            </w:r>
          </w:p>
        </w:tc>
      </w:tr>
      <w:tr w:rsidR="00916EA3" w:rsidRPr="00910911" w:rsidTr="00916EA3">
        <w:trPr>
          <w:trHeight w:val="300"/>
          <w:jc w:val="center"/>
        </w:trPr>
        <w:tc>
          <w:tcPr>
            <w:tcW w:w="3624" w:type="dxa"/>
            <w:tcBorders>
              <w:top w:val="nil"/>
              <w:left w:val="single" w:sz="4" w:space="0" w:color="auto"/>
              <w:bottom w:val="nil"/>
              <w:right w:val="nil"/>
            </w:tcBorders>
            <w:shd w:val="clear" w:color="auto" w:fill="auto"/>
            <w:vAlign w:val="center"/>
            <w:hideMark/>
          </w:tcPr>
          <w:p w:rsidR="00916EA3" w:rsidRPr="00910911" w:rsidRDefault="00916EA3" w:rsidP="00916EA3">
            <w:pPr>
              <w:rPr>
                <w:rFonts w:ascii="Arial" w:hAnsi="Arial" w:cs="Arial"/>
                <w:color w:val="000000"/>
                <w:sz w:val="20"/>
                <w:szCs w:val="20"/>
              </w:rPr>
            </w:pPr>
            <w:r w:rsidRPr="00910911">
              <w:rPr>
                <w:rFonts w:ascii="Arial" w:hAnsi="Arial" w:cs="Arial"/>
                <w:color w:val="000000"/>
                <w:sz w:val="20"/>
                <w:szCs w:val="20"/>
              </w:rPr>
              <w:t>500 à 999</w:t>
            </w:r>
            <w:r>
              <w:rPr>
                <w:rFonts w:ascii="Arial" w:hAnsi="Arial" w:cs="Arial"/>
                <w:color w:val="000000"/>
                <w:sz w:val="20"/>
                <w:szCs w:val="20"/>
              </w:rPr>
              <w:t xml:space="preserve"> salariés</w:t>
            </w:r>
          </w:p>
        </w:tc>
        <w:tc>
          <w:tcPr>
            <w:tcW w:w="1744" w:type="dxa"/>
            <w:tcBorders>
              <w:top w:val="nil"/>
              <w:left w:val="single" w:sz="4" w:space="0" w:color="auto"/>
              <w:bottom w:val="nil"/>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660</w:t>
            </w:r>
          </w:p>
        </w:tc>
        <w:tc>
          <w:tcPr>
            <w:tcW w:w="1745" w:type="dxa"/>
            <w:tcBorders>
              <w:top w:val="nil"/>
              <w:left w:val="nil"/>
              <w:bottom w:val="nil"/>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228</w:t>
            </w:r>
          </w:p>
        </w:tc>
        <w:tc>
          <w:tcPr>
            <w:tcW w:w="1745" w:type="dxa"/>
            <w:tcBorders>
              <w:top w:val="nil"/>
              <w:left w:val="nil"/>
              <w:bottom w:val="nil"/>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35</w:t>
            </w:r>
          </w:p>
        </w:tc>
      </w:tr>
      <w:tr w:rsidR="00916EA3" w:rsidRPr="00910911" w:rsidTr="00916EA3">
        <w:trPr>
          <w:trHeight w:val="300"/>
          <w:jc w:val="center"/>
        </w:trPr>
        <w:tc>
          <w:tcPr>
            <w:tcW w:w="3624" w:type="dxa"/>
            <w:tcBorders>
              <w:top w:val="nil"/>
              <w:left w:val="single" w:sz="4" w:space="0" w:color="auto"/>
              <w:bottom w:val="single" w:sz="4" w:space="0" w:color="auto"/>
              <w:right w:val="nil"/>
            </w:tcBorders>
            <w:shd w:val="clear" w:color="auto" w:fill="auto"/>
            <w:vAlign w:val="center"/>
            <w:hideMark/>
          </w:tcPr>
          <w:p w:rsidR="00916EA3" w:rsidRPr="00910911" w:rsidRDefault="00916EA3" w:rsidP="00916EA3">
            <w:pPr>
              <w:rPr>
                <w:rFonts w:ascii="Arial" w:hAnsi="Arial" w:cs="Arial"/>
                <w:color w:val="000000"/>
                <w:sz w:val="20"/>
                <w:szCs w:val="20"/>
              </w:rPr>
            </w:pPr>
            <w:r w:rsidRPr="00910911">
              <w:rPr>
                <w:rFonts w:ascii="Arial" w:hAnsi="Arial" w:cs="Arial"/>
                <w:color w:val="000000"/>
                <w:sz w:val="20"/>
                <w:szCs w:val="20"/>
              </w:rPr>
              <w:t xml:space="preserve">1 000 </w:t>
            </w:r>
            <w:r>
              <w:rPr>
                <w:rFonts w:ascii="Arial" w:hAnsi="Arial" w:cs="Arial"/>
                <w:color w:val="000000"/>
                <w:sz w:val="20"/>
                <w:szCs w:val="20"/>
              </w:rPr>
              <w:t>salariés</w:t>
            </w:r>
            <w:r w:rsidRPr="00910911">
              <w:rPr>
                <w:rFonts w:ascii="Arial" w:hAnsi="Arial" w:cs="Arial"/>
                <w:color w:val="000000"/>
                <w:sz w:val="20"/>
                <w:szCs w:val="20"/>
              </w:rPr>
              <w:t xml:space="preserve"> ou plus</w:t>
            </w:r>
          </w:p>
        </w:tc>
        <w:tc>
          <w:tcPr>
            <w:tcW w:w="1744" w:type="dxa"/>
            <w:tcBorders>
              <w:top w:val="nil"/>
              <w:left w:val="single" w:sz="4" w:space="0" w:color="auto"/>
              <w:bottom w:val="single" w:sz="4" w:space="0" w:color="auto"/>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2</w:t>
            </w:r>
            <w:r>
              <w:rPr>
                <w:rFonts w:ascii="Arial" w:hAnsi="Arial" w:cs="Arial"/>
                <w:color w:val="000000"/>
                <w:sz w:val="20"/>
                <w:szCs w:val="20"/>
              </w:rPr>
              <w:t xml:space="preserve"> </w:t>
            </w:r>
            <w:r w:rsidRPr="003D35F7">
              <w:rPr>
                <w:rFonts w:ascii="Arial" w:hAnsi="Arial" w:cs="Arial"/>
                <w:color w:val="000000"/>
                <w:sz w:val="20"/>
                <w:szCs w:val="20"/>
              </w:rPr>
              <w:t>674</w:t>
            </w:r>
          </w:p>
        </w:tc>
        <w:tc>
          <w:tcPr>
            <w:tcW w:w="1745" w:type="dxa"/>
            <w:tcBorders>
              <w:top w:val="nil"/>
              <w:left w:val="nil"/>
              <w:bottom w:val="single" w:sz="4" w:space="0" w:color="auto"/>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943</w:t>
            </w:r>
          </w:p>
        </w:tc>
        <w:tc>
          <w:tcPr>
            <w:tcW w:w="1745" w:type="dxa"/>
            <w:tcBorders>
              <w:top w:val="nil"/>
              <w:left w:val="nil"/>
              <w:bottom w:val="single" w:sz="4" w:space="0" w:color="auto"/>
              <w:right w:val="single" w:sz="4" w:space="0" w:color="auto"/>
            </w:tcBorders>
            <w:shd w:val="clear" w:color="auto" w:fill="auto"/>
            <w:vAlign w:val="center"/>
          </w:tcPr>
          <w:p w:rsidR="00916EA3" w:rsidRPr="003D35F7" w:rsidRDefault="00916EA3" w:rsidP="00916EA3">
            <w:pPr>
              <w:jc w:val="right"/>
              <w:rPr>
                <w:rFonts w:ascii="Arial" w:hAnsi="Arial" w:cs="Arial"/>
                <w:color w:val="000000"/>
                <w:sz w:val="20"/>
                <w:szCs w:val="20"/>
              </w:rPr>
            </w:pPr>
            <w:r w:rsidRPr="003D35F7">
              <w:rPr>
                <w:rFonts w:ascii="Arial" w:hAnsi="Arial" w:cs="Arial"/>
                <w:color w:val="000000"/>
                <w:sz w:val="20"/>
                <w:szCs w:val="20"/>
              </w:rPr>
              <w:t>35</w:t>
            </w:r>
          </w:p>
        </w:tc>
      </w:tr>
      <w:tr w:rsidR="00916EA3" w:rsidRPr="00904DB4" w:rsidTr="00916EA3">
        <w:trPr>
          <w:trHeight w:val="300"/>
          <w:jc w:val="center"/>
        </w:trPr>
        <w:tc>
          <w:tcPr>
            <w:tcW w:w="3624" w:type="dxa"/>
            <w:tcBorders>
              <w:top w:val="nil"/>
              <w:left w:val="single" w:sz="4" w:space="0" w:color="auto"/>
              <w:bottom w:val="single" w:sz="4" w:space="0" w:color="auto"/>
              <w:right w:val="single" w:sz="4" w:space="0" w:color="auto"/>
            </w:tcBorders>
            <w:shd w:val="clear" w:color="auto" w:fill="auto"/>
            <w:vAlign w:val="center"/>
          </w:tcPr>
          <w:p w:rsidR="00916EA3" w:rsidRPr="00904DB4" w:rsidRDefault="00916EA3" w:rsidP="00916EA3">
            <w:pPr>
              <w:rPr>
                <w:rFonts w:ascii="Arial" w:hAnsi="Arial" w:cs="Arial"/>
                <w:b/>
                <w:color w:val="000000"/>
                <w:sz w:val="20"/>
                <w:szCs w:val="20"/>
              </w:rPr>
            </w:pPr>
            <w:r w:rsidRPr="00904DB4">
              <w:rPr>
                <w:rFonts w:ascii="Arial" w:hAnsi="Arial" w:cs="Arial"/>
                <w:b/>
                <w:color w:val="000000"/>
                <w:sz w:val="20"/>
                <w:szCs w:val="20"/>
              </w:rPr>
              <w:t>Entreprises d’au moins 50 salariés</w:t>
            </w:r>
          </w:p>
        </w:tc>
        <w:tc>
          <w:tcPr>
            <w:tcW w:w="1744" w:type="dxa"/>
            <w:tcBorders>
              <w:top w:val="nil"/>
              <w:left w:val="nil"/>
              <w:bottom w:val="single" w:sz="4" w:space="0" w:color="auto"/>
              <w:right w:val="single" w:sz="4" w:space="0" w:color="auto"/>
            </w:tcBorders>
            <w:shd w:val="clear" w:color="auto" w:fill="auto"/>
            <w:vAlign w:val="center"/>
          </w:tcPr>
          <w:p w:rsidR="00916EA3" w:rsidRPr="003D35F7" w:rsidRDefault="00916EA3" w:rsidP="00916EA3">
            <w:pPr>
              <w:jc w:val="right"/>
              <w:rPr>
                <w:rFonts w:ascii="Arial" w:hAnsi="Arial" w:cs="Arial"/>
                <w:b/>
                <w:color w:val="000000"/>
                <w:sz w:val="20"/>
                <w:szCs w:val="20"/>
              </w:rPr>
            </w:pPr>
            <w:r w:rsidRPr="003D35F7">
              <w:rPr>
                <w:rFonts w:ascii="Arial" w:hAnsi="Arial" w:cs="Arial"/>
                <w:b/>
                <w:color w:val="000000"/>
                <w:sz w:val="20"/>
                <w:szCs w:val="20"/>
              </w:rPr>
              <w:t>5 673</w:t>
            </w:r>
          </w:p>
        </w:tc>
        <w:tc>
          <w:tcPr>
            <w:tcW w:w="1745" w:type="dxa"/>
            <w:tcBorders>
              <w:top w:val="nil"/>
              <w:left w:val="nil"/>
              <w:bottom w:val="single" w:sz="4" w:space="0" w:color="auto"/>
              <w:right w:val="single" w:sz="4" w:space="0" w:color="auto"/>
            </w:tcBorders>
            <w:shd w:val="clear" w:color="auto" w:fill="auto"/>
            <w:vAlign w:val="center"/>
          </w:tcPr>
          <w:p w:rsidR="00916EA3" w:rsidRPr="003D35F7" w:rsidRDefault="00916EA3" w:rsidP="00916EA3">
            <w:pPr>
              <w:jc w:val="right"/>
              <w:rPr>
                <w:rFonts w:ascii="Arial" w:hAnsi="Arial" w:cs="Arial"/>
                <w:b/>
                <w:color w:val="000000"/>
                <w:sz w:val="20"/>
                <w:szCs w:val="20"/>
              </w:rPr>
            </w:pPr>
            <w:r w:rsidRPr="003D35F7">
              <w:rPr>
                <w:rFonts w:ascii="Arial" w:hAnsi="Arial" w:cs="Arial"/>
                <w:b/>
                <w:color w:val="000000"/>
                <w:sz w:val="20"/>
                <w:szCs w:val="20"/>
              </w:rPr>
              <w:t>2 104</w:t>
            </w:r>
          </w:p>
        </w:tc>
        <w:tc>
          <w:tcPr>
            <w:tcW w:w="1745" w:type="dxa"/>
            <w:tcBorders>
              <w:top w:val="nil"/>
              <w:left w:val="nil"/>
              <w:bottom w:val="single" w:sz="4" w:space="0" w:color="auto"/>
              <w:right w:val="single" w:sz="4" w:space="0" w:color="auto"/>
            </w:tcBorders>
            <w:shd w:val="clear" w:color="auto" w:fill="auto"/>
            <w:vAlign w:val="center"/>
          </w:tcPr>
          <w:p w:rsidR="00916EA3" w:rsidRPr="003D35F7" w:rsidRDefault="00916EA3" w:rsidP="00916EA3">
            <w:pPr>
              <w:jc w:val="right"/>
              <w:rPr>
                <w:rFonts w:ascii="Arial" w:hAnsi="Arial" w:cs="Arial"/>
                <w:b/>
                <w:color w:val="000000"/>
                <w:sz w:val="20"/>
                <w:szCs w:val="20"/>
              </w:rPr>
            </w:pPr>
            <w:r w:rsidRPr="003D35F7">
              <w:rPr>
                <w:rFonts w:ascii="Arial" w:hAnsi="Arial" w:cs="Arial"/>
                <w:b/>
                <w:color w:val="000000"/>
                <w:sz w:val="20"/>
                <w:szCs w:val="20"/>
              </w:rPr>
              <w:t>37</w:t>
            </w:r>
          </w:p>
        </w:tc>
      </w:tr>
      <w:tr w:rsidR="00916EA3" w:rsidRPr="00904DB4" w:rsidTr="00916EA3">
        <w:trPr>
          <w:trHeight w:val="300"/>
          <w:jc w:val="center"/>
        </w:trPr>
        <w:tc>
          <w:tcPr>
            <w:tcW w:w="3624" w:type="dxa"/>
            <w:tcBorders>
              <w:top w:val="nil"/>
              <w:left w:val="single" w:sz="4" w:space="0" w:color="auto"/>
              <w:bottom w:val="single" w:sz="4" w:space="0" w:color="auto"/>
              <w:right w:val="single" w:sz="4" w:space="0" w:color="auto"/>
            </w:tcBorders>
            <w:shd w:val="clear" w:color="auto" w:fill="auto"/>
            <w:vAlign w:val="center"/>
            <w:hideMark/>
          </w:tcPr>
          <w:p w:rsidR="00916EA3" w:rsidRPr="00904DB4" w:rsidRDefault="00916EA3" w:rsidP="00916EA3">
            <w:pPr>
              <w:rPr>
                <w:rFonts w:ascii="Arial" w:hAnsi="Arial" w:cs="Arial"/>
                <w:b/>
                <w:color w:val="000000"/>
                <w:sz w:val="20"/>
                <w:szCs w:val="20"/>
              </w:rPr>
            </w:pPr>
            <w:r w:rsidRPr="00904DB4">
              <w:rPr>
                <w:rFonts w:ascii="Arial" w:hAnsi="Arial" w:cs="Arial"/>
                <w:b/>
                <w:color w:val="000000"/>
                <w:sz w:val="20"/>
                <w:szCs w:val="20"/>
              </w:rPr>
              <w:t>Ensemble des entreprises</w:t>
            </w:r>
          </w:p>
        </w:tc>
        <w:tc>
          <w:tcPr>
            <w:tcW w:w="1744" w:type="dxa"/>
            <w:tcBorders>
              <w:top w:val="nil"/>
              <w:left w:val="nil"/>
              <w:bottom w:val="single" w:sz="4" w:space="0" w:color="auto"/>
              <w:right w:val="single" w:sz="4" w:space="0" w:color="auto"/>
            </w:tcBorders>
            <w:shd w:val="clear" w:color="auto" w:fill="auto"/>
            <w:vAlign w:val="center"/>
          </w:tcPr>
          <w:p w:rsidR="00916EA3" w:rsidRPr="003D35F7" w:rsidRDefault="00916EA3" w:rsidP="00916EA3">
            <w:pPr>
              <w:jc w:val="right"/>
              <w:rPr>
                <w:rFonts w:ascii="Arial" w:hAnsi="Arial" w:cs="Arial"/>
                <w:b/>
                <w:color w:val="000000"/>
                <w:sz w:val="20"/>
                <w:szCs w:val="20"/>
              </w:rPr>
            </w:pPr>
            <w:r w:rsidRPr="003D35F7">
              <w:rPr>
                <w:rFonts w:ascii="Arial" w:hAnsi="Arial" w:cs="Arial"/>
                <w:b/>
                <w:color w:val="000000"/>
                <w:sz w:val="20"/>
                <w:szCs w:val="20"/>
              </w:rPr>
              <w:t>5 854</w:t>
            </w:r>
          </w:p>
        </w:tc>
        <w:tc>
          <w:tcPr>
            <w:tcW w:w="1745" w:type="dxa"/>
            <w:tcBorders>
              <w:top w:val="nil"/>
              <w:left w:val="nil"/>
              <w:bottom w:val="single" w:sz="4" w:space="0" w:color="auto"/>
              <w:right w:val="single" w:sz="4" w:space="0" w:color="auto"/>
            </w:tcBorders>
            <w:shd w:val="clear" w:color="auto" w:fill="auto"/>
            <w:vAlign w:val="center"/>
          </w:tcPr>
          <w:p w:rsidR="00916EA3" w:rsidRPr="003D35F7" w:rsidRDefault="00916EA3" w:rsidP="00916EA3">
            <w:pPr>
              <w:jc w:val="right"/>
              <w:rPr>
                <w:rFonts w:ascii="Arial" w:hAnsi="Arial" w:cs="Arial"/>
                <w:b/>
                <w:color w:val="000000"/>
                <w:sz w:val="20"/>
                <w:szCs w:val="20"/>
              </w:rPr>
            </w:pPr>
            <w:r w:rsidRPr="003D35F7">
              <w:rPr>
                <w:rFonts w:ascii="Arial" w:hAnsi="Arial" w:cs="Arial"/>
                <w:b/>
                <w:color w:val="000000"/>
                <w:sz w:val="20"/>
                <w:szCs w:val="20"/>
              </w:rPr>
              <w:t>2 173</w:t>
            </w:r>
          </w:p>
        </w:tc>
        <w:tc>
          <w:tcPr>
            <w:tcW w:w="1745" w:type="dxa"/>
            <w:tcBorders>
              <w:top w:val="nil"/>
              <w:left w:val="nil"/>
              <w:bottom w:val="single" w:sz="4" w:space="0" w:color="auto"/>
              <w:right w:val="single" w:sz="4" w:space="0" w:color="auto"/>
            </w:tcBorders>
            <w:shd w:val="clear" w:color="auto" w:fill="auto"/>
            <w:vAlign w:val="center"/>
          </w:tcPr>
          <w:p w:rsidR="00916EA3" w:rsidRPr="003D35F7" w:rsidRDefault="00916EA3" w:rsidP="00916EA3">
            <w:pPr>
              <w:jc w:val="right"/>
              <w:rPr>
                <w:rFonts w:ascii="Arial" w:hAnsi="Arial" w:cs="Arial"/>
                <w:b/>
                <w:color w:val="000000"/>
                <w:sz w:val="20"/>
                <w:szCs w:val="20"/>
              </w:rPr>
            </w:pPr>
            <w:r w:rsidRPr="003D35F7">
              <w:rPr>
                <w:rFonts w:ascii="Arial" w:hAnsi="Arial" w:cs="Arial"/>
                <w:b/>
                <w:color w:val="000000"/>
                <w:sz w:val="20"/>
                <w:szCs w:val="20"/>
              </w:rPr>
              <w:t>37</w:t>
            </w:r>
          </w:p>
        </w:tc>
      </w:tr>
    </w:tbl>
    <w:p w:rsidR="00916EA3" w:rsidRPr="00B745CB" w:rsidRDefault="00916EA3" w:rsidP="009014A4">
      <w:pPr>
        <w:autoSpaceDE w:val="0"/>
        <w:autoSpaceDN w:val="0"/>
        <w:adjustRightInd w:val="0"/>
        <w:spacing w:after="0" w:line="240" w:lineRule="auto"/>
        <w:ind w:left="142"/>
        <w:jc w:val="both"/>
        <w:rPr>
          <w:rFonts w:ascii="Arial" w:hAnsi="Arial" w:cs="Arial"/>
          <w:bCs/>
          <w:i/>
          <w:sz w:val="16"/>
          <w:szCs w:val="16"/>
        </w:rPr>
      </w:pPr>
      <w:r w:rsidRPr="00B745CB">
        <w:rPr>
          <w:rFonts w:ascii="Arial" w:hAnsi="Arial" w:cs="Arial"/>
          <w:bCs/>
          <w:i/>
          <w:sz w:val="16"/>
          <w:szCs w:val="16"/>
        </w:rPr>
        <w:t>Champ : entreprises de 10 salariés ou plus qui ont distribué une prime de participation</w:t>
      </w:r>
    </w:p>
    <w:p w:rsidR="00916EA3" w:rsidRDefault="00916EA3" w:rsidP="009014A4">
      <w:pPr>
        <w:autoSpaceDE w:val="0"/>
        <w:autoSpaceDN w:val="0"/>
        <w:adjustRightInd w:val="0"/>
        <w:spacing w:after="0" w:line="240" w:lineRule="auto"/>
        <w:ind w:left="142"/>
        <w:jc w:val="both"/>
        <w:rPr>
          <w:rFonts w:ascii="Arial" w:hAnsi="Arial" w:cs="Arial"/>
          <w:bCs/>
          <w:i/>
          <w:sz w:val="16"/>
          <w:szCs w:val="16"/>
        </w:rPr>
      </w:pPr>
      <w:r w:rsidRPr="00B745CB">
        <w:rPr>
          <w:rFonts w:ascii="Arial" w:hAnsi="Arial" w:cs="Arial"/>
          <w:bCs/>
          <w:i/>
          <w:sz w:val="16"/>
          <w:szCs w:val="16"/>
        </w:rPr>
        <w:t>Source : DARES, enquête Acemo-Pipa 2016</w:t>
      </w:r>
    </w:p>
    <w:p w:rsidR="00042414" w:rsidRDefault="00042414" w:rsidP="009014A4">
      <w:pPr>
        <w:autoSpaceDE w:val="0"/>
        <w:autoSpaceDN w:val="0"/>
        <w:adjustRightInd w:val="0"/>
        <w:spacing w:after="0" w:line="240" w:lineRule="auto"/>
        <w:ind w:left="142"/>
        <w:jc w:val="both"/>
        <w:rPr>
          <w:rFonts w:ascii="Arial" w:hAnsi="Arial" w:cs="Arial"/>
          <w:bCs/>
          <w:i/>
          <w:sz w:val="16"/>
          <w:szCs w:val="16"/>
        </w:rPr>
      </w:pPr>
    </w:p>
    <w:p w:rsidR="00042414" w:rsidRPr="009014A4" w:rsidRDefault="00042414" w:rsidP="009014A4">
      <w:pPr>
        <w:autoSpaceDE w:val="0"/>
        <w:autoSpaceDN w:val="0"/>
        <w:adjustRightInd w:val="0"/>
        <w:spacing w:after="0" w:line="240" w:lineRule="auto"/>
        <w:ind w:left="2410"/>
        <w:jc w:val="both"/>
        <w:rPr>
          <w:rFonts w:ascii="Arial" w:hAnsi="Arial" w:cs="Arial"/>
          <w:bCs/>
          <w:i/>
          <w:sz w:val="16"/>
          <w:szCs w:val="16"/>
        </w:rPr>
      </w:pPr>
    </w:p>
    <w:p w:rsidR="00F85D64" w:rsidRDefault="00F85D64" w:rsidP="00916EA3">
      <w:pPr>
        <w:autoSpaceDE w:val="0"/>
        <w:autoSpaceDN w:val="0"/>
        <w:adjustRightInd w:val="0"/>
        <w:jc w:val="center"/>
        <w:rPr>
          <w:rFonts w:ascii="Arial" w:hAnsi="Arial" w:cs="Arial"/>
          <w:b/>
          <w:bCs/>
          <w:sz w:val="26"/>
          <w:szCs w:val="26"/>
        </w:rPr>
      </w:pPr>
    </w:p>
    <w:p w:rsidR="00F85D64" w:rsidRDefault="00F85D64" w:rsidP="00916EA3">
      <w:pPr>
        <w:autoSpaceDE w:val="0"/>
        <w:autoSpaceDN w:val="0"/>
        <w:adjustRightInd w:val="0"/>
        <w:jc w:val="center"/>
        <w:rPr>
          <w:rFonts w:ascii="Arial" w:hAnsi="Arial" w:cs="Arial"/>
          <w:b/>
          <w:bCs/>
          <w:sz w:val="26"/>
          <w:szCs w:val="26"/>
        </w:rPr>
      </w:pPr>
    </w:p>
    <w:p w:rsidR="00F85D64" w:rsidRDefault="00F85D64" w:rsidP="00916EA3">
      <w:pPr>
        <w:autoSpaceDE w:val="0"/>
        <w:autoSpaceDN w:val="0"/>
        <w:adjustRightInd w:val="0"/>
        <w:jc w:val="center"/>
        <w:rPr>
          <w:rFonts w:ascii="Arial" w:hAnsi="Arial" w:cs="Arial"/>
          <w:b/>
          <w:bCs/>
          <w:sz w:val="26"/>
          <w:szCs w:val="26"/>
        </w:rPr>
      </w:pPr>
    </w:p>
    <w:p w:rsidR="00F85D64" w:rsidRDefault="00F85D64" w:rsidP="00916EA3">
      <w:pPr>
        <w:autoSpaceDE w:val="0"/>
        <w:autoSpaceDN w:val="0"/>
        <w:adjustRightInd w:val="0"/>
        <w:jc w:val="center"/>
        <w:rPr>
          <w:rFonts w:ascii="Arial" w:hAnsi="Arial" w:cs="Arial"/>
          <w:b/>
          <w:bCs/>
          <w:sz w:val="26"/>
          <w:szCs w:val="26"/>
        </w:rPr>
      </w:pPr>
    </w:p>
    <w:p w:rsidR="00F85D64" w:rsidRDefault="00F85D64" w:rsidP="00916EA3">
      <w:pPr>
        <w:autoSpaceDE w:val="0"/>
        <w:autoSpaceDN w:val="0"/>
        <w:adjustRightInd w:val="0"/>
        <w:jc w:val="center"/>
        <w:rPr>
          <w:rFonts w:ascii="Arial" w:hAnsi="Arial" w:cs="Arial"/>
          <w:b/>
          <w:bCs/>
          <w:sz w:val="26"/>
          <w:szCs w:val="26"/>
        </w:rPr>
      </w:pPr>
    </w:p>
    <w:p w:rsidR="00F85D64" w:rsidRDefault="00F85D64" w:rsidP="00916EA3">
      <w:pPr>
        <w:autoSpaceDE w:val="0"/>
        <w:autoSpaceDN w:val="0"/>
        <w:adjustRightInd w:val="0"/>
        <w:jc w:val="center"/>
        <w:rPr>
          <w:rFonts w:ascii="Arial" w:hAnsi="Arial" w:cs="Arial"/>
          <w:b/>
          <w:bCs/>
          <w:sz w:val="26"/>
          <w:szCs w:val="26"/>
        </w:rPr>
      </w:pPr>
    </w:p>
    <w:p w:rsidR="00F85D64" w:rsidRDefault="00F85D64" w:rsidP="00916EA3">
      <w:pPr>
        <w:autoSpaceDE w:val="0"/>
        <w:autoSpaceDN w:val="0"/>
        <w:adjustRightInd w:val="0"/>
        <w:jc w:val="center"/>
        <w:rPr>
          <w:rFonts w:ascii="Arial" w:hAnsi="Arial" w:cs="Arial"/>
          <w:b/>
          <w:bCs/>
          <w:sz w:val="26"/>
          <w:szCs w:val="26"/>
        </w:rPr>
      </w:pPr>
    </w:p>
    <w:p w:rsidR="00F85D64" w:rsidRDefault="00F85D64" w:rsidP="00916EA3">
      <w:pPr>
        <w:autoSpaceDE w:val="0"/>
        <w:autoSpaceDN w:val="0"/>
        <w:adjustRightInd w:val="0"/>
        <w:jc w:val="center"/>
        <w:rPr>
          <w:rFonts w:ascii="Arial" w:hAnsi="Arial" w:cs="Arial"/>
          <w:b/>
          <w:bCs/>
          <w:sz w:val="26"/>
          <w:szCs w:val="26"/>
        </w:rPr>
      </w:pPr>
    </w:p>
    <w:p w:rsidR="00F85D64" w:rsidRDefault="00F85D64" w:rsidP="00916EA3">
      <w:pPr>
        <w:autoSpaceDE w:val="0"/>
        <w:autoSpaceDN w:val="0"/>
        <w:adjustRightInd w:val="0"/>
        <w:jc w:val="center"/>
        <w:rPr>
          <w:rFonts w:ascii="Arial" w:hAnsi="Arial" w:cs="Arial"/>
          <w:b/>
          <w:bCs/>
          <w:sz w:val="26"/>
          <w:szCs w:val="26"/>
        </w:rPr>
      </w:pPr>
    </w:p>
    <w:p w:rsidR="00F85D64" w:rsidRDefault="00F85D64" w:rsidP="00916EA3">
      <w:pPr>
        <w:autoSpaceDE w:val="0"/>
        <w:autoSpaceDN w:val="0"/>
        <w:adjustRightInd w:val="0"/>
        <w:jc w:val="center"/>
        <w:rPr>
          <w:rFonts w:ascii="Arial" w:hAnsi="Arial" w:cs="Arial"/>
          <w:b/>
          <w:bCs/>
          <w:sz w:val="26"/>
          <w:szCs w:val="26"/>
        </w:rPr>
      </w:pPr>
    </w:p>
    <w:p w:rsidR="00F85D64" w:rsidRDefault="00F85D64" w:rsidP="00916EA3">
      <w:pPr>
        <w:autoSpaceDE w:val="0"/>
        <w:autoSpaceDN w:val="0"/>
        <w:adjustRightInd w:val="0"/>
        <w:jc w:val="center"/>
        <w:rPr>
          <w:rFonts w:ascii="Arial" w:hAnsi="Arial" w:cs="Arial"/>
          <w:b/>
          <w:bCs/>
          <w:sz w:val="26"/>
          <w:szCs w:val="26"/>
        </w:rPr>
      </w:pPr>
    </w:p>
    <w:p w:rsidR="00F85D64" w:rsidRDefault="00F85D64" w:rsidP="00916EA3">
      <w:pPr>
        <w:autoSpaceDE w:val="0"/>
        <w:autoSpaceDN w:val="0"/>
        <w:adjustRightInd w:val="0"/>
        <w:jc w:val="center"/>
        <w:rPr>
          <w:rFonts w:ascii="Arial" w:hAnsi="Arial" w:cs="Arial"/>
          <w:b/>
          <w:bCs/>
          <w:sz w:val="26"/>
          <w:szCs w:val="26"/>
        </w:rPr>
      </w:pPr>
    </w:p>
    <w:p w:rsidR="00F85D64" w:rsidRDefault="00F85D64" w:rsidP="00916EA3">
      <w:pPr>
        <w:autoSpaceDE w:val="0"/>
        <w:autoSpaceDN w:val="0"/>
        <w:adjustRightInd w:val="0"/>
        <w:jc w:val="center"/>
        <w:rPr>
          <w:rFonts w:ascii="Arial" w:hAnsi="Arial" w:cs="Arial"/>
          <w:b/>
          <w:bCs/>
          <w:sz w:val="26"/>
          <w:szCs w:val="26"/>
        </w:rPr>
      </w:pPr>
    </w:p>
    <w:p w:rsidR="00916EA3" w:rsidRPr="002B6FDE" w:rsidRDefault="00916EA3" w:rsidP="00916EA3">
      <w:pPr>
        <w:autoSpaceDE w:val="0"/>
        <w:autoSpaceDN w:val="0"/>
        <w:adjustRightInd w:val="0"/>
        <w:jc w:val="center"/>
        <w:rPr>
          <w:rFonts w:ascii="Arial" w:hAnsi="Arial" w:cs="Arial"/>
          <w:b/>
          <w:bCs/>
          <w:sz w:val="26"/>
          <w:szCs w:val="26"/>
        </w:rPr>
      </w:pPr>
      <w:r w:rsidRPr="002B6FDE">
        <w:rPr>
          <w:rFonts w:ascii="Arial" w:hAnsi="Arial" w:cs="Arial"/>
          <w:b/>
          <w:bCs/>
          <w:sz w:val="26"/>
          <w:szCs w:val="26"/>
        </w:rPr>
        <w:lastRenderedPageBreak/>
        <w:t>Fiche 5 : Répartition des plans d’épargne interentreprises (PEI)</w:t>
      </w:r>
    </w:p>
    <w:p w:rsidR="00916EA3" w:rsidRPr="002B6FDE" w:rsidRDefault="00916EA3" w:rsidP="00916EA3">
      <w:pPr>
        <w:autoSpaceDE w:val="0"/>
        <w:autoSpaceDN w:val="0"/>
        <w:adjustRightInd w:val="0"/>
        <w:jc w:val="both"/>
        <w:rPr>
          <w:rFonts w:ascii="Arial" w:hAnsi="Arial" w:cs="Arial"/>
          <w:sz w:val="20"/>
          <w:szCs w:val="20"/>
        </w:rPr>
      </w:pPr>
      <w:r w:rsidRPr="002B6FDE">
        <w:rPr>
          <w:rFonts w:ascii="Arial" w:hAnsi="Arial" w:cs="Arial"/>
          <w:sz w:val="20"/>
          <w:szCs w:val="20"/>
        </w:rPr>
        <w:t>Parmi les entreprises de 10 salariés ou plus qui offrent un PEE à leurs salariés en 2015, près de 12 % le proposent sous forme d’un PEI (tableau 1, colonne 3).</w:t>
      </w:r>
    </w:p>
    <w:p w:rsidR="00916EA3" w:rsidRPr="002B6FDE" w:rsidRDefault="00916EA3" w:rsidP="00916EA3">
      <w:pPr>
        <w:autoSpaceDE w:val="0"/>
        <w:autoSpaceDN w:val="0"/>
        <w:adjustRightInd w:val="0"/>
        <w:jc w:val="both"/>
        <w:rPr>
          <w:rFonts w:ascii="Arial" w:hAnsi="Arial" w:cs="Arial"/>
          <w:sz w:val="20"/>
          <w:szCs w:val="20"/>
        </w:rPr>
      </w:pPr>
      <w:r w:rsidRPr="002B6FDE">
        <w:rPr>
          <w:rFonts w:ascii="Arial" w:hAnsi="Arial" w:cs="Arial"/>
          <w:sz w:val="20"/>
          <w:szCs w:val="20"/>
        </w:rPr>
        <w:t>C’est dans les entreprises de 10 à 49 salariés que cette proportion est la plus élevée (16,2 %). Dans les entreprises de 50 salariés ou plus, elle est de 5,3 %. Elle diminue au fur et à mesure que la taille de l’entreprise augmente.</w:t>
      </w:r>
    </w:p>
    <w:p w:rsidR="00916EA3" w:rsidRPr="002B6FDE" w:rsidRDefault="00916EA3" w:rsidP="00916EA3">
      <w:pPr>
        <w:autoSpaceDE w:val="0"/>
        <w:autoSpaceDN w:val="0"/>
        <w:adjustRightInd w:val="0"/>
        <w:jc w:val="both"/>
        <w:rPr>
          <w:rFonts w:ascii="Arial" w:hAnsi="Arial" w:cs="Arial"/>
          <w:sz w:val="20"/>
          <w:szCs w:val="20"/>
        </w:rPr>
      </w:pPr>
      <w:r w:rsidRPr="002B6FDE">
        <w:rPr>
          <w:rFonts w:ascii="Arial" w:hAnsi="Arial" w:cs="Arial"/>
          <w:sz w:val="20"/>
          <w:szCs w:val="20"/>
        </w:rPr>
        <w:t>Dans le secteur des transports et de l’entreposage, près de 12 % des entreprises de 50 salariés ou plus qui ont un PEE ont plus spécifiquement un PEI. Cette proportion est comprise entre 6 et 8 % dans les entreprises des secteurs de la construction, du commerce, réparation d’automobiles et de motocycles et des activités spécialisées, scientifiques et techniques et activités de services administratifs et de soutien (tableau 2, colonne 3).</w:t>
      </w:r>
    </w:p>
    <w:p w:rsidR="00916EA3" w:rsidRPr="002B6FDE" w:rsidRDefault="00916EA3" w:rsidP="00916EA3">
      <w:pPr>
        <w:autoSpaceDE w:val="0"/>
        <w:autoSpaceDN w:val="0"/>
        <w:adjustRightInd w:val="0"/>
        <w:jc w:val="both"/>
        <w:rPr>
          <w:rFonts w:ascii="Arial" w:hAnsi="Arial" w:cs="Arial"/>
          <w:sz w:val="20"/>
          <w:szCs w:val="20"/>
        </w:rPr>
      </w:pPr>
      <w:r w:rsidRPr="002B6FDE">
        <w:rPr>
          <w:rFonts w:ascii="Arial" w:hAnsi="Arial" w:cs="Arial"/>
          <w:sz w:val="20"/>
          <w:szCs w:val="20"/>
        </w:rPr>
        <w:t>Parmi les salariés ayant épargné sur un PEE dans les entreprises de 10 salariés ou plus, près de 3 % l’ont fait sur un PEE de type PEI en 2015 (tableau 1, colonne 6).</w:t>
      </w:r>
    </w:p>
    <w:p w:rsidR="00916EA3" w:rsidRPr="002B6FDE" w:rsidRDefault="00916EA3" w:rsidP="00916EA3">
      <w:pPr>
        <w:autoSpaceDE w:val="0"/>
        <w:autoSpaceDN w:val="0"/>
        <w:adjustRightInd w:val="0"/>
        <w:jc w:val="both"/>
        <w:rPr>
          <w:rFonts w:ascii="Arial" w:hAnsi="Arial" w:cs="Arial"/>
          <w:sz w:val="20"/>
          <w:szCs w:val="20"/>
        </w:rPr>
      </w:pPr>
      <w:r w:rsidRPr="002B6FDE">
        <w:rPr>
          <w:rFonts w:ascii="Arial" w:hAnsi="Arial" w:cs="Arial"/>
          <w:sz w:val="20"/>
          <w:szCs w:val="20"/>
        </w:rPr>
        <w:t>C’est dans les entreprises de 10 à 49 salariés que cette proportion est la plus élevée (22,5 %). Elle est de 1,3 % dans les entreprises de 50 salariés ou plus. Elle diminue au fur et à mesure que la taille de l’entreprise augmente.</w:t>
      </w:r>
    </w:p>
    <w:p w:rsidR="00916EA3" w:rsidRPr="002B6FDE" w:rsidRDefault="00916EA3" w:rsidP="00916EA3">
      <w:pPr>
        <w:autoSpaceDE w:val="0"/>
        <w:autoSpaceDN w:val="0"/>
        <w:adjustRightInd w:val="0"/>
        <w:jc w:val="both"/>
        <w:rPr>
          <w:rFonts w:ascii="Arial" w:hAnsi="Arial" w:cs="Arial"/>
          <w:sz w:val="20"/>
          <w:szCs w:val="20"/>
        </w:rPr>
      </w:pPr>
      <w:r w:rsidRPr="002B6FDE">
        <w:rPr>
          <w:rFonts w:ascii="Arial" w:hAnsi="Arial" w:cs="Arial"/>
          <w:sz w:val="20"/>
          <w:szCs w:val="20"/>
        </w:rPr>
        <w:t>Dans les entreprises de 50 salariés ou plus du secteur de l’administration publique, enseignement, santé humaine et action sociale, 5 % des salariés ayant épargné sur un PEE l’ont fait sur un PEI. Cette proportion est de presque 4 % dans la construction et d’un peu plus de 2 % dans la fabrication d’autres produits industriels (tableau 2, colonne 6).</w:t>
      </w:r>
    </w:p>
    <w:p w:rsidR="00916EA3" w:rsidRPr="002B6FDE" w:rsidRDefault="00916EA3" w:rsidP="00916EA3">
      <w:pPr>
        <w:autoSpaceDE w:val="0"/>
        <w:autoSpaceDN w:val="0"/>
        <w:adjustRightInd w:val="0"/>
        <w:jc w:val="both"/>
        <w:rPr>
          <w:rFonts w:ascii="Arial" w:hAnsi="Arial" w:cs="Arial"/>
          <w:bCs/>
          <w:sz w:val="20"/>
          <w:szCs w:val="20"/>
        </w:rPr>
      </w:pPr>
    </w:p>
    <w:p w:rsidR="00916EA3" w:rsidRPr="002B6FDE" w:rsidRDefault="00916EA3" w:rsidP="00916EA3">
      <w:pPr>
        <w:autoSpaceDE w:val="0"/>
        <w:autoSpaceDN w:val="0"/>
        <w:adjustRightInd w:val="0"/>
        <w:jc w:val="center"/>
        <w:rPr>
          <w:rFonts w:ascii="Arial" w:hAnsi="Arial" w:cs="Arial"/>
          <w:b/>
          <w:bCs/>
          <w:sz w:val="20"/>
          <w:szCs w:val="20"/>
        </w:rPr>
      </w:pPr>
      <w:r w:rsidRPr="002B6FDE">
        <w:rPr>
          <w:rFonts w:ascii="Arial" w:hAnsi="Arial" w:cs="Arial"/>
          <w:b/>
          <w:bCs/>
          <w:sz w:val="20"/>
          <w:szCs w:val="20"/>
        </w:rPr>
        <w:t>Tableau 1 : Répartition des PEI par taille d’entreprise en 2015 (en %)</w:t>
      </w:r>
    </w:p>
    <w:tbl>
      <w:tblPr>
        <w:tblW w:w="10049" w:type="dxa"/>
        <w:tblInd w:w="-214" w:type="dxa"/>
        <w:tblCellMar>
          <w:left w:w="70" w:type="dxa"/>
          <w:right w:w="70" w:type="dxa"/>
        </w:tblCellMar>
        <w:tblLook w:val="04A0" w:firstRow="1" w:lastRow="0" w:firstColumn="1" w:lastColumn="0" w:noHBand="0" w:noVBand="1"/>
      </w:tblPr>
      <w:tblGrid>
        <w:gridCol w:w="2149"/>
        <w:gridCol w:w="1600"/>
        <w:gridCol w:w="1520"/>
        <w:gridCol w:w="1420"/>
        <w:gridCol w:w="1660"/>
        <w:gridCol w:w="1700"/>
      </w:tblGrid>
      <w:tr w:rsidR="00916EA3" w:rsidRPr="002B6FDE" w:rsidTr="00916EA3">
        <w:trPr>
          <w:trHeight w:val="300"/>
        </w:trPr>
        <w:tc>
          <w:tcPr>
            <w:tcW w:w="2149" w:type="dxa"/>
            <w:tcBorders>
              <w:top w:val="nil"/>
              <w:left w:val="nil"/>
              <w:bottom w:val="nil"/>
              <w:right w:val="nil"/>
            </w:tcBorders>
            <w:shd w:val="clear" w:color="auto" w:fill="auto"/>
            <w:noWrap/>
            <w:vAlign w:val="bottom"/>
            <w:hideMark/>
          </w:tcPr>
          <w:p w:rsidR="00916EA3" w:rsidRPr="002B6FDE" w:rsidRDefault="00916EA3" w:rsidP="00916EA3">
            <w:pPr>
              <w:rPr>
                <w:rFonts w:ascii="Arial" w:hAnsi="Arial" w:cs="Arial"/>
                <w:b/>
                <w:bCs/>
                <w:color w:val="000000"/>
                <w:sz w:val="20"/>
                <w:szCs w:val="20"/>
              </w:rPr>
            </w:pP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6EA3" w:rsidRPr="002B6FDE" w:rsidRDefault="00916EA3" w:rsidP="00916EA3">
            <w:pPr>
              <w:jc w:val="center"/>
              <w:rPr>
                <w:rFonts w:ascii="Arial" w:hAnsi="Arial" w:cs="Arial"/>
                <w:color w:val="000000"/>
                <w:sz w:val="20"/>
                <w:szCs w:val="20"/>
              </w:rPr>
            </w:pPr>
            <w:r w:rsidRPr="002B6FDE">
              <w:rPr>
                <w:rFonts w:ascii="Arial" w:hAnsi="Arial" w:cs="Arial"/>
                <w:color w:val="000000"/>
                <w:sz w:val="20"/>
                <w:szCs w:val="20"/>
              </w:rPr>
              <w:t>Part d'entreprises qui ont un PEI</w:t>
            </w:r>
          </w:p>
        </w:tc>
        <w:tc>
          <w:tcPr>
            <w:tcW w:w="4780" w:type="dxa"/>
            <w:gridSpan w:val="3"/>
            <w:tcBorders>
              <w:top w:val="single" w:sz="4" w:space="0" w:color="auto"/>
              <w:left w:val="nil"/>
              <w:bottom w:val="single" w:sz="4" w:space="0" w:color="auto"/>
              <w:right w:val="single" w:sz="4" w:space="0" w:color="auto"/>
            </w:tcBorders>
            <w:shd w:val="clear" w:color="auto" w:fill="auto"/>
            <w:vAlign w:val="center"/>
            <w:hideMark/>
          </w:tcPr>
          <w:p w:rsidR="00916EA3" w:rsidRPr="002B6FDE" w:rsidRDefault="00916EA3" w:rsidP="00916EA3">
            <w:pPr>
              <w:jc w:val="center"/>
              <w:rPr>
                <w:rFonts w:ascii="Arial" w:hAnsi="Arial" w:cs="Arial"/>
                <w:color w:val="000000"/>
                <w:sz w:val="20"/>
                <w:szCs w:val="20"/>
              </w:rPr>
            </w:pPr>
            <w:r w:rsidRPr="002B6FDE">
              <w:rPr>
                <w:rFonts w:ascii="Arial" w:hAnsi="Arial" w:cs="Arial"/>
                <w:color w:val="000000"/>
                <w:sz w:val="20"/>
                <w:szCs w:val="20"/>
              </w:rPr>
              <w:t>Part de salariés qui ont un PEI</w:t>
            </w:r>
          </w:p>
        </w:tc>
      </w:tr>
      <w:tr w:rsidR="00916EA3" w:rsidRPr="002B6FDE" w:rsidTr="00916EA3">
        <w:trPr>
          <w:trHeight w:val="900"/>
        </w:trPr>
        <w:tc>
          <w:tcPr>
            <w:tcW w:w="2149" w:type="dxa"/>
            <w:tcBorders>
              <w:top w:val="single" w:sz="4" w:space="0" w:color="auto"/>
              <w:left w:val="single" w:sz="4" w:space="0" w:color="auto"/>
              <w:bottom w:val="single" w:sz="4" w:space="0" w:color="auto"/>
              <w:right w:val="nil"/>
            </w:tcBorders>
            <w:shd w:val="clear" w:color="auto" w:fill="auto"/>
            <w:vAlign w:val="center"/>
            <w:hideMark/>
          </w:tcPr>
          <w:p w:rsidR="00916EA3" w:rsidRPr="002B6FDE" w:rsidRDefault="00916EA3" w:rsidP="00916EA3">
            <w:pPr>
              <w:jc w:val="center"/>
              <w:rPr>
                <w:rFonts w:ascii="Arial" w:hAnsi="Arial" w:cs="Arial"/>
                <w:color w:val="000000"/>
                <w:sz w:val="20"/>
                <w:szCs w:val="20"/>
              </w:rPr>
            </w:pPr>
            <w:r w:rsidRPr="002B6FDE">
              <w:rPr>
                <w:rFonts w:ascii="Arial" w:hAnsi="Arial" w:cs="Arial"/>
                <w:color w:val="000000"/>
                <w:sz w:val="20"/>
                <w:szCs w:val="20"/>
              </w:rPr>
              <w:t>Taille de l'entreprise</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916EA3" w:rsidRPr="002B6FDE" w:rsidRDefault="00916EA3" w:rsidP="00916EA3">
            <w:pPr>
              <w:jc w:val="center"/>
              <w:rPr>
                <w:rFonts w:ascii="Arial" w:hAnsi="Arial" w:cs="Arial"/>
                <w:color w:val="000000"/>
                <w:sz w:val="20"/>
                <w:szCs w:val="20"/>
              </w:rPr>
            </w:pPr>
            <w:r w:rsidRPr="002B6FDE">
              <w:rPr>
                <w:rFonts w:ascii="Arial" w:hAnsi="Arial" w:cs="Arial"/>
                <w:color w:val="000000"/>
                <w:sz w:val="20"/>
                <w:szCs w:val="20"/>
              </w:rPr>
              <w:t>parmi l'ensemble des entreprises</w:t>
            </w:r>
          </w:p>
        </w:tc>
        <w:tc>
          <w:tcPr>
            <w:tcW w:w="1520" w:type="dxa"/>
            <w:tcBorders>
              <w:top w:val="nil"/>
              <w:left w:val="nil"/>
              <w:bottom w:val="single" w:sz="4" w:space="0" w:color="auto"/>
              <w:right w:val="single" w:sz="4" w:space="0" w:color="auto"/>
            </w:tcBorders>
            <w:shd w:val="clear" w:color="auto" w:fill="auto"/>
            <w:vAlign w:val="center"/>
            <w:hideMark/>
          </w:tcPr>
          <w:p w:rsidR="00916EA3" w:rsidRPr="002B6FDE" w:rsidRDefault="00916EA3" w:rsidP="00916EA3">
            <w:pPr>
              <w:jc w:val="center"/>
              <w:rPr>
                <w:rFonts w:ascii="Arial" w:hAnsi="Arial" w:cs="Arial"/>
                <w:color w:val="000000"/>
                <w:sz w:val="20"/>
                <w:szCs w:val="20"/>
              </w:rPr>
            </w:pPr>
            <w:r w:rsidRPr="002B6FDE">
              <w:rPr>
                <w:rFonts w:ascii="Arial" w:hAnsi="Arial" w:cs="Arial"/>
                <w:color w:val="000000"/>
                <w:sz w:val="20"/>
                <w:szCs w:val="20"/>
              </w:rPr>
              <w:t>parmi les entreprises qui ont un PEE</w:t>
            </w:r>
          </w:p>
        </w:tc>
        <w:tc>
          <w:tcPr>
            <w:tcW w:w="1420" w:type="dxa"/>
            <w:tcBorders>
              <w:top w:val="nil"/>
              <w:left w:val="nil"/>
              <w:bottom w:val="single" w:sz="4" w:space="0" w:color="auto"/>
              <w:right w:val="single" w:sz="4" w:space="0" w:color="auto"/>
            </w:tcBorders>
            <w:shd w:val="clear" w:color="auto" w:fill="auto"/>
            <w:vAlign w:val="center"/>
            <w:hideMark/>
          </w:tcPr>
          <w:p w:rsidR="00916EA3" w:rsidRPr="002B6FDE" w:rsidRDefault="00916EA3" w:rsidP="00916EA3">
            <w:pPr>
              <w:jc w:val="center"/>
              <w:rPr>
                <w:rFonts w:ascii="Arial" w:hAnsi="Arial" w:cs="Arial"/>
                <w:color w:val="000000"/>
                <w:sz w:val="20"/>
                <w:szCs w:val="20"/>
              </w:rPr>
            </w:pPr>
            <w:r w:rsidRPr="002B6FDE">
              <w:rPr>
                <w:rFonts w:ascii="Arial" w:hAnsi="Arial" w:cs="Arial"/>
                <w:color w:val="000000"/>
                <w:sz w:val="20"/>
                <w:szCs w:val="20"/>
              </w:rPr>
              <w:t>parmi l'ensemble des salariés</w:t>
            </w:r>
          </w:p>
        </w:tc>
        <w:tc>
          <w:tcPr>
            <w:tcW w:w="1660" w:type="dxa"/>
            <w:tcBorders>
              <w:top w:val="nil"/>
              <w:left w:val="nil"/>
              <w:bottom w:val="single" w:sz="4" w:space="0" w:color="auto"/>
              <w:right w:val="single" w:sz="4" w:space="0" w:color="auto"/>
            </w:tcBorders>
            <w:shd w:val="clear" w:color="auto" w:fill="auto"/>
            <w:vAlign w:val="center"/>
            <w:hideMark/>
          </w:tcPr>
          <w:p w:rsidR="00916EA3" w:rsidRPr="002B6FDE" w:rsidRDefault="00916EA3" w:rsidP="00916EA3">
            <w:pPr>
              <w:jc w:val="center"/>
              <w:rPr>
                <w:rFonts w:ascii="Arial" w:hAnsi="Arial" w:cs="Arial"/>
                <w:color w:val="000000"/>
                <w:sz w:val="20"/>
                <w:szCs w:val="20"/>
              </w:rPr>
            </w:pPr>
            <w:r w:rsidRPr="002B6FDE">
              <w:rPr>
                <w:rFonts w:ascii="Arial" w:hAnsi="Arial" w:cs="Arial"/>
                <w:color w:val="000000"/>
                <w:sz w:val="20"/>
                <w:szCs w:val="20"/>
              </w:rPr>
              <w:t>parmi les salariés qui ont accès à un PEE</w:t>
            </w:r>
          </w:p>
        </w:tc>
        <w:tc>
          <w:tcPr>
            <w:tcW w:w="1700" w:type="dxa"/>
            <w:tcBorders>
              <w:top w:val="nil"/>
              <w:left w:val="nil"/>
              <w:bottom w:val="single" w:sz="4" w:space="0" w:color="auto"/>
              <w:right w:val="single" w:sz="4" w:space="0" w:color="auto"/>
            </w:tcBorders>
            <w:shd w:val="clear" w:color="auto" w:fill="auto"/>
            <w:vAlign w:val="center"/>
            <w:hideMark/>
          </w:tcPr>
          <w:p w:rsidR="00916EA3" w:rsidRPr="002B6FDE" w:rsidRDefault="00916EA3" w:rsidP="00916EA3">
            <w:pPr>
              <w:jc w:val="center"/>
              <w:rPr>
                <w:rFonts w:ascii="Arial" w:hAnsi="Arial" w:cs="Arial"/>
                <w:color w:val="000000"/>
                <w:sz w:val="20"/>
                <w:szCs w:val="20"/>
              </w:rPr>
            </w:pPr>
            <w:r w:rsidRPr="002B6FDE">
              <w:rPr>
                <w:rFonts w:ascii="Arial" w:hAnsi="Arial" w:cs="Arial"/>
                <w:color w:val="000000"/>
                <w:sz w:val="20"/>
                <w:szCs w:val="20"/>
              </w:rPr>
              <w:t>parmi les salariés ayant épargné sur un PEE</w:t>
            </w:r>
          </w:p>
        </w:tc>
      </w:tr>
      <w:tr w:rsidR="00916EA3" w:rsidRPr="002B6FDE" w:rsidTr="00916EA3">
        <w:trPr>
          <w:trHeight w:val="300"/>
        </w:trPr>
        <w:tc>
          <w:tcPr>
            <w:tcW w:w="2149" w:type="dxa"/>
            <w:tcBorders>
              <w:top w:val="single" w:sz="4" w:space="0" w:color="auto"/>
              <w:left w:val="single" w:sz="4" w:space="0" w:color="auto"/>
              <w:bottom w:val="dashSmallGap" w:sz="4" w:space="0" w:color="auto"/>
              <w:right w:val="nil"/>
            </w:tcBorders>
            <w:shd w:val="clear" w:color="auto" w:fill="auto"/>
            <w:noWrap/>
            <w:vAlign w:val="center"/>
            <w:hideMark/>
          </w:tcPr>
          <w:p w:rsidR="00916EA3" w:rsidRPr="002B6FDE" w:rsidRDefault="00916EA3" w:rsidP="00916EA3">
            <w:pPr>
              <w:rPr>
                <w:rFonts w:ascii="Arial" w:hAnsi="Arial" w:cs="Arial"/>
                <w:color w:val="000000"/>
                <w:sz w:val="20"/>
                <w:szCs w:val="20"/>
              </w:rPr>
            </w:pPr>
            <w:r w:rsidRPr="002B6FDE">
              <w:rPr>
                <w:rFonts w:ascii="Arial" w:hAnsi="Arial" w:cs="Arial"/>
                <w:color w:val="000000"/>
                <w:sz w:val="20"/>
                <w:szCs w:val="20"/>
              </w:rPr>
              <w:t>10 à 49 salariés</w:t>
            </w:r>
          </w:p>
        </w:tc>
        <w:tc>
          <w:tcPr>
            <w:tcW w:w="1600" w:type="dxa"/>
            <w:tcBorders>
              <w:top w:val="single" w:sz="4" w:space="0" w:color="auto"/>
              <w:left w:val="single" w:sz="4" w:space="0" w:color="auto"/>
              <w:bottom w:val="dashSmallGap"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2,4</w:t>
            </w:r>
          </w:p>
        </w:tc>
        <w:tc>
          <w:tcPr>
            <w:tcW w:w="1520" w:type="dxa"/>
            <w:tcBorders>
              <w:top w:val="single" w:sz="4" w:space="0" w:color="auto"/>
              <w:left w:val="nil"/>
              <w:bottom w:val="dashSmallGap"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16,2</w:t>
            </w:r>
          </w:p>
        </w:tc>
        <w:tc>
          <w:tcPr>
            <w:tcW w:w="1420" w:type="dxa"/>
            <w:tcBorders>
              <w:top w:val="single" w:sz="4" w:space="0" w:color="auto"/>
              <w:left w:val="nil"/>
              <w:bottom w:val="dashSmallGap"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1,7</w:t>
            </w:r>
          </w:p>
        </w:tc>
        <w:tc>
          <w:tcPr>
            <w:tcW w:w="1660" w:type="dxa"/>
            <w:tcBorders>
              <w:top w:val="single" w:sz="4" w:space="0" w:color="auto"/>
              <w:left w:val="nil"/>
              <w:bottom w:val="dashSmallGap"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11,3</w:t>
            </w:r>
          </w:p>
        </w:tc>
        <w:tc>
          <w:tcPr>
            <w:tcW w:w="1700" w:type="dxa"/>
            <w:tcBorders>
              <w:top w:val="single" w:sz="4" w:space="0" w:color="auto"/>
              <w:left w:val="nil"/>
              <w:bottom w:val="dashSmallGap"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22,5</w:t>
            </w:r>
          </w:p>
        </w:tc>
      </w:tr>
      <w:tr w:rsidR="00916EA3" w:rsidRPr="002B6FDE" w:rsidTr="00916EA3">
        <w:trPr>
          <w:trHeight w:val="300"/>
        </w:trPr>
        <w:tc>
          <w:tcPr>
            <w:tcW w:w="2149" w:type="dxa"/>
            <w:tcBorders>
              <w:top w:val="dashSmallGap" w:sz="4" w:space="0" w:color="auto"/>
              <w:left w:val="single" w:sz="4" w:space="0" w:color="auto"/>
              <w:bottom w:val="nil"/>
              <w:right w:val="nil"/>
            </w:tcBorders>
            <w:shd w:val="clear" w:color="auto" w:fill="auto"/>
            <w:noWrap/>
            <w:vAlign w:val="center"/>
            <w:hideMark/>
          </w:tcPr>
          <w:p w:rsidR="00916EA3" w:rsidRPr="002B6FDE" w:rsidRDefault="00916EA3" w:rsidP="00916EA3">
            <w:pPr>
              <w:rPr>
                <w:rFonts w:ascii="Arial" w:hAnsi="Arial" w:cs="Arial"/>
                <w:color w:val="000000"/>
                <w:sz w:val="20"/>
                <w:szCs w:val="20"/>
              </w:rPr>
            </w:pPr>
            <w:r w:rsidRPr="002B6FDE">
              <w:rPr>
                <w:rFonts w:ascii="Arial" w:hAnsi="Arial" w:cs="Arial"/>
                <w:color w:val="000000"/>
                <w:sz w:val="20"/>
                <w:szCs w:val="20"/>
              </w:rPr>
              <w:t>50 à 99 salariés</w:t>
            </w:r>
          </w:p>
        </w:tc>
        <w:tc>
          <w:tcPr>
            <w:tcW w:w="1600" w:type="dxa"/>
            <w:tcBorders>
              <w:top w:val="dashSmallGap" w:sz="4" w:space="0" w:color="auto"/>
              <w:left w:val="single" w:sz="4" w:space="0" w:color="auto"/>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2,6</w:t>
            </w:r>
          </w:p>
        </w:tc>
        <w:tc>
          <w:tcPr>
            <w:tcW w:w="1520" w:type="dxa"/>
            <w:tcBorders>
              <w:top w:val="dashSmallGap" w:sz="4" w:space="0" w:color="auto"/>
              <w:left w:val="nil"/>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7,3</w:t>
            </w:r>
          </w:p>
        </w:tc>
        <w:tc>
          <w:tcPr>
            <w:tcW w:w="1420" w:type="dxa"/>
            <w:tcBorders>
              <w:top w:val="dashSmallGap" w:sz="4" w:space="0" w:color="auto"/>
              <w:left w:val="nil"/>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1,2</w:t>
            </w:r>
          </w:p>
        </w:tc>
        <w:tc>
          <w:tcPr>
            <w:tcW w:w="1660" w:type="dxa"/>
            <w:tcBorders>
              <w:top w:val="dashSmallGap" w:sz="4" w:space="0" w:color="auto"/>
              <w:left w:val="nil"/>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3,2</w:t>
            </w:r>
          </w:p>
        </w:tc>
        <w:tc>
          <w:tcPr>
            <w:tcW w:w="1700" w:type="dxa"/>
            <w:tcBorders>
              <w:top w:val="dashSmallGap" w:sz="4" w:space="0" w:color="auto"/>
              <w:left w:val="nil"/>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7,6</w:t>
            </w:r>
          </w:p>
        </w:tc>
      </w:tr>
      <w:tr w:rsidR="00916EA3" w:rsidRPr="002B6FDE" w:rsidTr="00916EA3">
        <w:trPr>
          <w:trHeight w:val="300"/>
        </w:trPr>
        <w:tc>
          <w:tcPr>
            <w:tcW w:w="2149" w:type="dxa"/>
            <w:tcBorders>
              <w:top w:val="nil"/>
              <w:left w:val="single" w:sz="4" w:space="0" w:color="auto"/>
              <w:bottom w:val="nil"/>
              <w:right w:val="nil"/>
            </w:tcBorders>
            <w:shd w:val="clear" w:color="auto" w:fill="auto"/>
            <w:noWrap/>
            <w:vAlign w:val="center"/>
            <w:hideMark/>
          </w:tcPr>
          <w:p w:rsidR="00916EA3" w:rsidRPr="002B6FDE" w:rsidRDefault="00916EA3" w:rsidP="00916EA3">
            <w:pPr>
              <w:rPr>
                <w:rFonts w:ascii="Arial" w:hAnsi="Arial" w:cs="Arial"/>
                <w:color w:val="000000"/>
                <w:sz w:val="20"/>
                <w:szCs w:val="20"/>
              </w:rPr>
            </w:pPr>
            <w:r w:rsidRPr="002B6FDE">
              <w:rPr>
                <w:rFonts w:ascii="Arial" w:hAnsi="Arial" w:cs="Arial"/>
                <w:color w:val="000000"/>
                <w:sz w:val="20"/>
                <w:szCs w:val="20"/>
              </w:rPr>
              <w:t>100 à 249 salariés</w:t>
            </w:r>
          </w:p>
        </w:tc>
        <w:tc>
          <w:tcPr>
            <w:tcW w:w="1600" w:type="dxa"/>
            <w:tcBorders>
              <w:top w:val="nil"/>
              <w:left w:val="single" w:sz="4" w:space="0" w:color="auto"/>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2,9</w:t>
            </w:r>
          </w:p>
        </w:tc>
        <w:tc>
          <w:tcPr>
            <w:tcW w:w="1520" w:type="dxa"/>
            <w:tcBorders>
              <w:top w:val="nil"/>
              <w:left w:val="nil"/>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5,3</w:t>
            </w:r>
          </w:p>
        </w:tc>
        <w:tc>
          <w:tcPr>
            <w:tcW w:w="1420" w:type="dxa"/>
            <w:tcBorders>
              <w:top w:val="nil"/>
              <w:left w:val="nil"/>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1,0</w:t>
            </w:r>
          </w:p>
        </w:tc>
        <w:tc>
          <w:tcPr>
            <w:tcW w:w="1660" w:type="dxa"/>
            <w:tcBorders>
              <w:top w:val="nil"/>
              <w:left w:val="nil"/>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1,7</w:t>
            </w:r>
          </w:p>
        </w:tc>
        <w:tc>
          <w:tcPr>
            <w:tcW w:w="1700" w:type="dxa"/>
            <w:tcBorders>
              <w:top w:val="nil"/>
              <w:left w:val="nil"/>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2,2</w:t>
            </w:r>
          </w:p>
        </w:tc>
      </w:tr>
      <w:tr w:rsidR="00916EA3" w:rsidRPr="002B6FDE" w:rsidTr="00916EA3">
        <w:trPr>
          <w:trHeight w:val="300"/>
        </w:trPr>
        <w:tc>
          <w:tcPr>
            <w:tcW w:w="2149" w:type="dxa"/>
            <w:tcBorders>
              <w:top w:val="nil"/>
              <w:left w:val="single" w:sz="4" w:space="0" w:color="auto"/>
              <w:bottom w:val="nil"/>
              <w:right w:val="nil"/>
            </w:tcBorders>
            <w:shd w:val="clear" w:color="auto" w:fill="auto"/>
            <w:noWrap/>
            <w:vAlign w:val="center"/>
            <w:hideMark/>
          </w:tcPr>
          <w:p w:rsidR="00916EA3" w:rsidRPr="002B6FDE" w:rsidRDefault="00916EA3" w:rsidP="00916EA3">
            <w:pPr>
              <w:rPr>
                <w:rFonts w:ascii="Arial" w:hAnsi="Arial" w:cs="Arial"/>
                <w:color w:val="000000"/>
                <w:sz w:val="20"/>
                <w:szCs w:val="20"/>
              </w:rPr>
            </w:pPr>
            <w:r w:rsidRPr="002B6FDE">
              <w:rPr>
                <w:rFonts w:ascii="Arial" w:hAnsi="Arial" w:cs="Arial"/>
                <w:color w:val="000000"/>
                <w:sz w:val="20"/>
                <w:szCs w:val="20"/>
              </w:rPr>
              <w:t>250 à 499 salariés</w:t>
            </w:r>
          </w:p>
        </w:tc>
        <w:tc>
          <w:tcPr>
            <w:tcW w:w="1600" w:type="dxa"/>
            <w:tcBorders>
              <w:top w:val="nil"/>
              <w:left w:val="single" w:sz="4" w:space="0" w:color="auto"/>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1,3</w:t>
            </w:r>
          </w:p>
        </w:tc>
        <w:tc>
          <w:tcPr>
            <w:tcW w:w="1520" w:type="dxa"/>
            <w:tcBorders>
              <w:top w:val="nil"/>
              <w:left w:val="nil"/>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1,9</w:t>
            </w:r>
          </w:p>
        </w:tc>
        <w:tc>
          <w:tcPr>
            <w:tcW w:w="1420" w:type="dxa"/>
            <w:tcBorders>
              <w:top w:val="nil"/>
              <w:left w:val="nil"/>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0,6</w:t>
            </w:r>
          </w:p>
        </w:tc>
        <w:tc>
          <w:tcPr>
            <w:tcW w:w="1660" w:type="dxa"/>
            <w:tcBorders>
              <w:top w:val="nil"/>
              <w:left w:val="nil"/>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0,8</w:t>
            </w:r>
          </w:p>
        </w:tc>
        <w:tc>
          <w:tcPr>
            <w:tcW w:w="1700" w:type="dxa"/>
            <w:tcBorders>
              <w:top w:val="nil"/>
              <w:left w:val="nil"/>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1,9</w:t>
            </w:r>
          </w:p>
        </w:tc>
      </w:tr>
      <w:tr w:rsidR="00916EA3" w:rsidRPr="002B6FDE" w:rsidTr="00916EA3">
        <w:trPr>
          <w:trHeight w:val="300"/>
        </w:trPr>
        <w:tc>
          <w:tcPr>
            <w:tcW w:w="2149" w:type="dxa"/>
            <w:tcBorders>
              <w:top w:val="nil"/>
              <w:left w:val="single" w:sz="4" w:space="0" w:color="auto"/>
              <w:bottom w:val="nil"/>
              <w:right w:val="nil"/>
            </w:tcBorders>
            <w:shd w:val="clear" w:color="auto" w:fill="auto"/>
            <w:noWrap/>
            <w:vAlign w:val="center"/>
            <w:hideMark/>
          </w:tcPr>
          <w:p w:rsidR="00916EA3" w:rsidRPr="002B6FDE" w:rsidRDefault="00916EA3" w:rsidP="00916EA3">
            <w:pPr>
              <w:rPr>
                <w:rFonts w:ascii="Arial" w:hAnsi="Arial" w:cs="Arial"/>
                <w:color w:val="000000"/>
                <w:sz w:val="20"/>
                <w:szCs w:val="20"/>
              </w:rPr>
            </w:pPr>
            <w:r w:rsidRPr="002B6FDE">
              <w:rPr>
                <w:rFonts w:ascii="Arial" w:hAnsi="Arial" w:cs="Arial"/>
                <w:color w:val="000000"/>
                <w:sz w:val="20"/>
                <w:szCs w:val="20"/>
              </w:rPr>
              <w:t>500 à 999 salariés</w:t>
            </w:r>
          </w:p>
        </w:tc>
        <w:tc>
          <w:tcPr>
            <w:tcW w:w="1600" w:type="dxa"/>
            <w:tcBorders>
              <w:top w:val="nil"/>
              <w:left w:val="single" w:sz="4" w:space="0" w:color="auto"/>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2,0</w:t>
            </w:r>
          </w:p>
        </w:tc>
        <w:tc>
          <w:tcPr>
            <w:tcW w:w="1520" w:type="dxa"/>
            <w:tcBorders>
              <w:top w:val="nil"/>
              <w:left w:val="nil"/>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2,6</w:t>
            </w:r>
          </w:p>
        </w:tc>
        <w:tc>
          <w:tcPr>
            <w:tcW w:w="1420" w:type="dxa"/>
            <w:tcBorders>
              <w:top w:val="nil"/>
              <w:left w:val="nil"/>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0,8</w:t>
            </w:r>
          </w:p>
        </w:tc>
        <w:tc>
          <w:tcPr>
            <w:tcW w:w="1660" w:type="dxa"/>
            <w:tcBorders>
              <w:top w:val="nil"/>
              <w:left w:val="nil"/>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1,1</w:t>
            </w:r>
          </w:p>
        </w:tc>
        <w:tc>
          <w:tcPr>
            <w:tcW w:w="1700" w:type="dxa"/>
            <w:tcBorders>
              <w:top w:val="nil"/>
              <w:left w:val="nil"/>
              <w:bottom w:val="nil"/>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2,0</w:t>
            </w:r>
          </w:p>
        </w:tc>
      </w:tr>
      <w:tr w:rsidR="00916EA3" w:rsidRPr="002B6FDE" w:rsidTr="00916EA3">
        <w:trPr>
          <w:trHeight w:val="300"/>
        </w:trPr>
        <w:tc>
          <w:tcPr>
            <w:tcW w:w="2149" w:type="dxa"/>
            <w:tcBorders>
              <w:top w:val="nil"/>
              <w:left w:val="single" w:sz="4" w:space="0" w:color="auto"/>
              <w:bottom w:val="single" w:sz="4" w:space="0" w:color="auto"/>
              <w:right w:val="nil"/>
            </w:tcBorders>
            <w:shd w:val="clear" w:color="auto" w:fill="auto"/>
            <w:noWrap/>
            <w:vAlign w:val="center"/>
            <w:hideMark/>
          </w:tcPr>
          <w:p w:rsidR="00916EA3" w:rsidRPr="002B6FDE" w:rsidRDefault="00916EA3" w:rsidP="00916EA3">
            <w:pPr>
              <w:rPr>
                <w:rFonts w:ascii="Arial" w:hAnsi="Arial" w:cs="Arial"/>
                <w:color w:val="000000"/>
                <w:sz w:val="20"/>
                <w:szCs w:val="20"/>
              </w:rPr>
            </w:pPr>
            <w:r w:rsidRPr="002B6FDE">
              <w:rPr>
                <w:rFonts w:ascii="Arial" w:hAnsi="Arial" w:cs="Arial"/>
                <w:color w:val="000000"/>
                <w:sz w:val="20"/>
                <w:szCs w:val="20"/>
              </w:rPr>
              <w:t>1 000 salariés ou plus</w:t>
            </w:r>
          </w:p>
        </w:tc>
        <w:tc>
          <w:tcPr>
            <w:tcW w:w="1600" w:type="dxa"/>
            <w:tcBorders>
              <w:top w:val="nil"/>
              <w:left w:val="single" w:sz="4" w:space="0" w:color="auto"/>
              <w:bottom w:val="single"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0,6</w:t>
            </w:r>
          </w:p>
        </w:tc>
        <w:tc>
          <w:tcPr>
            <w:tcW w:w="1520" w:type="dxa"/>
            <w:tcBorders>
              <w:top w:val="nil"/>
              <w:left w:val="nil"/>
              <w:bottom w:val="single"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0,8</w:t>
            </w:r>
          </w:p>
        </w:tc>
        <w:tc>
          <w:tcPr>
            <w:tcW w:w="1420" w:type="dxa"/>
            <w:tcBorders>
              <w:top w:val="nil"/>
              <w:left w:val="nil"/>
              <w:bottom w:val="single"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0,2</w:t>
            </w:r>
          </w:p>
        </w:tc>
        <w:tc>
          <w:tcPr>
            <w:tcW w:w="1660" w:type="dxa"/>
            <w:tcBorders>
              <w:top w:val="nil"/>
              <w:left w:val="nil"/>
              <w:bottom w:val="single"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0,2</w:t>
            </w:r>
          </w:p>
        </w:tc>
        <w:tc>
          <w:tcPr>
            <w:tcW w:w="1700" w:type="dxa"/>
            <w:tcBorders>
              <w:top w:val="nil"/>
              <w:left w:val="nil"/>
              <w:bottom w:val="single"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color w:val="000000"/>
                <w:sz w:val="20"/>
                <w:szCs w:val="20"/>
              </w:rPr>
            </w:pPr>
            <w:r w:rsidRPr="002B6FDE">
              <w:rPr>
                <w:rFonts w:ascii="Arial" w:hAnsi="Arial" w:cs="Arial"/>
                <w:color w:val="000000"/>
                <w:sz w:val="20"/>
                <w:szCs w:val="20"/>
              </w:rPr>
              <w:t>0,4</w:t>
            </w:r>
          </w:p>
        </w:tc>
      </w:tr>
      <w:tr w:rsidR="00916EA3" w:rsidRPr="002B6FDE" w:rsidTr="00916EA3">
        <w:trPr>
          <w:trHeight w:val="300"/>
        </w:trPr>
        <w:tc>
          <w:tcPr>
            <w:tcW w:w="2149" w:type="dxa"/>
            <w:tcBorders>
              <w:top w:val="single" w:sz="4" w:space="0" w:color="auto"/>
              <w:left w:val="single" w:sz="4" w:space="0" w:color="auto"/>
              <w:bottom w:val="single" w:sz="4" w:space="0" w:color="auto"/>
              <w:right w:val="nil"/>
            </w:tcBorders>
            <w:shd w:val="clear" w:color="auto" w:fill="auto"/>
            <w:noWrap/>
            <w:vAlign w:val="center"/>
          </w:tcPr>
          <w:p w:rsidR="00916EA3" w:rsidRPr="002B6FDE" w:rsidRDefault="00916EA3" w:rsidP="00916EA3">
            <w:pPr>
              <w:rPr>
                <w:rFonts w:ascii="Arial" w:hAnsi="Arial" w:cs="Arial"/>
                <w:b/>
                <w:color w:val="000000"/>
                <w:sz w:val="20"/>
                <w:szCs w:val="20"/>
              </w:rPr>
            </w:pPr>
            <w:r w:rsidRPr="002B6FDE">
              <w:rPr>
                <w:rFonts w:ascii="Arial" w:hAnsi="Arial" w:cs="Arial"/>
                <w:b/>
                <w:color w:val="000000"/>
                <w:sz w:val="20"/>
                <w:szCs w:val="20"/>
              </w:rPr>
              <w:t>Entreprises d’au moins 50 salariés</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b/>
                <w:color w:val="000000"/>
                <w:sz w:val="20"/>
                <w:szCs w:val="20"/>
              </w:rPr>
            </w:pPr>
            <w:r w:rsidRPr="002B6FDE">
              <w:rPr>
                <w:rFonts w:ascii="Arial" w:hAnsi="Arial" w:cs="Arial"/>
                <w:b/>
                <w:color w:val="000000"/>
                <w:sz w:val="20"/>
                <w:szCs w:val="20"/>
              </w:rPr>
              <w:t>2,5</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b/>
                <w:color w:val="000000"/>
                <w:sz w:val="20"/>
                <w:szCs w:val="20"/>
              </w:rPr>
            </w:pPr>
            <w:r w:rsidRPr="002B6FDE">
              <w:rPr>
                <w:rFonts w:ascii="Arial" w:hAnsi="Arial" w:cs="Arial"/>
                <w:b/>
                <w:color w:val="000000"/>
                <w:sz w:val="20"/>
                <w:szCs w:val="20"/>
              </w:rPr>
              <w:t>5,3</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b/>
                <w:color w:val="000000"/>
                <w:sz w:val="20"/>
                <w:szCs w:val="20"/>
              </w:rPr>
            </w:pPr>
            <w:r w:rsidRPr="002B6FDE">
              <w:rPr>
                <w:rFonts w:ascii="Arial" w:hAnsi="Arial" w:cs="Arial"/>
                <w:b/>
                <w:color w:val="000000"/>
                <w:sz w:val="20"/>
                <w:szCs w:val="20"/>
              </w:rPr>
              <w:t>0,6</w:t>
            </w:r>
          </w:p>
        </w:tc>
        <w:tc>
          <w:tcPr>
            <w:tcW w:w="1660" w:type="dxa"/>
            <w:tcBorders>
              <w:top w:val="single" w:sz="4" w:space="0" w:color="auto"/>
              <w:left w:val="nil"/>
              <w:bottom w:val="single"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b/>
                <w:color w:val="000000"/>
                <w:sz w:val="20"/>
                <w:szCs w:val="20"/>
              </w:rPr>
            </w:pPr>
            <w:r w:rsidRPr="002B6FDE">
              <w:rPr>
                <w:rFonts w:ascii="Arial" w:hAnsi="Arial" w:cs="Arial"/>
                <w:b/>
                <w:color w:val="000000"/>
                <w:sz w:val="20"/>
                <w:szCs w:val="20"/>
              </w:rPr>
              <w:t>0,8</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b/>
                <w:color w:val="000000"/>
                <w:sz w:val="20"/>
                <w:szCs w:val="20"/>
              </w:rPr>
            </w:pPr>
            <w:r w:rsidRPr="002B6FDE">
              <w:rPr>
                <w:rFonts w:ascii="Arial" w:hAnsi="Arial" w:cs="Arial"/>
                <w:b/>
                <w:color w:val="000000"/>
                <w:sz w:val="20"/>
                <w:szCs w:val="20"/>
              </w:rPr>
              <w:t>1,3</w:t>
            </w:r>
          </w:p>
        </w:tc>
      </w:tr>
      <w:tr w:rsidR="00916EA3" w:rsidRPr="002B6FDE" w:rsidTr="00916EA3">
        <w:trPr>
          <w:trHeight w:val="300"/>
        </w:trPr>
        <w:tc>
          <w:tcPr>
            <w:tcW w:w="2149" w:type="dxa"/>
            <w:tcBorders>
              <w:top w:val="nil"/>
              <w:left w:val="single" w:sz="4" w:space="0" w:color="auto"/>
              <w:bottom w:val="single" w:sz="4" w:space="0" w:color="auto"/>
              <w:right w:val="nil"/>
            </w:tcBorders>
            <w:shd w:val="clear" w:color="auto" w:fill="auto"/>
            <w:noWrap/>
            <w:vAlign w:val="center"/>
            <w:hideMark/>
          </w:tcPr>
          <w:p w:rsidR="00916EA3" w:rsidRPr="002B6FDE" w:rsidRDefault="00916EA3" w:rsidP="00916EA3">
            <w:pPr>
              <w:rPr>
                <w:rFonts w:ascii="Arial" w:hAnsi="Arial" w:cs="Arial"/>
                <w:b/>
                <w:color w:val="000000"/>
                <w:sz w:val="20"/>
                <w:szCs w:val="20"/>
              </w:rPr>
            </w:pPr>
            <w:r w:rsidRPr="002B6FDE">
              <w:rPr>
                <w:rFonts w:ascii="Arial" w:hAnsi="Arial" w:cs="Arial"/>
                <w:b/>
                <w:color w:val="000000"/>
                <w:sz w:val="20"/>
                <w:szCs w:val="20"/>
              </w:rPr>
              <w:t>Ensemble des entreprises</w:t>
            </w:r>
          </w:p>
        </w:tc>
        <w:tc>
          <w:tcPr>
            <w:tcW w:w="1600" w:type="dxa"/>
            <w:tcBorders>
              <w:top w:val="nil"/>
              <w:left w:val="single" w:sz="4" w:space="0" w:color="auto"/>
              <w:bottom w:val="single"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b/>
                <w:color w:val="000000"/>
                <w:sz w:val="20"/>
                <w:szCs w:val="20"/>
              </w:rPr>
            </w:pPr>
            <w:r w:rsidRPr="002B6FDE">
              <w:rPr>
                <w:rFonts w:ascii="Arial" w:hAnsi="Arial" w:cs="Arial"/>
                <w:b/>
                <w:color w:val="000000"/>
                <w:sz w:val="20"/>
                <w:szCs w:val="20"/>
              </w:rPr>
              <w:t>2,4</w:t>
            </w:r>
          </w:p>
        </w:tc>
        <w:tc>
          <w:tcPr>
            <w:tcW w:w="1520" w:type="dxa"/>
            <w:tcBorders>
              <w:top w:val="nil"/>
              <w:left w:val="nil"/>
              <w:bottom w:val="single"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b/>
                <w:color w:val="000000"/>
                <w:sz w:val="20"/>
                <w:szCs w:val="20"/>
              </w:rPr>
            </w:pPr>
            <w:r w:rsidRPr="002B6FDE">
              <w:rPr>
                <w:rFonts w:ascii="Arial" w:hAnsi="Arial" w:cs="Arial"/>
                <w:b/>
                <w:color w:val="000000"/>
                <w:sz w:val="20"/>
                <w:szCs w:val="20"/>
              </w:rPr>
              <w:t>11,8</w:t>
            </w:r>
          </w:p>
        </w:tc>
        <w:tc>
          <w:tcPr>
            <w:tcW w:w="1420" w:type="dxa"/>
            <w:tcBorders>
              <w:top w:val="nil"/>
              <w:left w:val="nil"/>
              <w:bottom w:val="single"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b/>
                <w:color w:val="000000"/>
                <w:sz w:val="20"/>
                <w:szCs w:val="20"/>
              </w:rPr>
            </w:pPr>
            <w:r w:rsidRPr="002B6FDE">
              <w:rPr>
                <w:rFonts w:ascii="Arial" w:hAnsi="Arial" w:cs="Arial"/>
                <w:b/>
                <w:color w:val="000000"/>
                <w:sz w:val="20"/>
                <w:szCs w:val="20"/>
              </w:rPr>
              <w:t>0,9</w:t>
            </w:r>
          </w:p>
        </w:tc>
        <w:tc>
          <w:tcPr>
            <w:tcW w:w="1660" w:type="dxa"/>
            <w:tcBorders>
              <w:top w:val="nil"/>
              <w:left w:val="nil"/>
              <w:bottom w:val="single"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b/>
                <w:color w:val="000000"/>
                <w:sz w:val="20"/>
                <w:szCs w:val="20"/>
              </w:rPr>
            </w:pPr>
            <w:r w:rsidRPr="002B6FDE">
              <w:rPr>
                <w:rFonts w:ascii="Arial" w:hAnsi="Arial" w:cs="Arial"/>
                <w:b/>
                <w:color w:val="000000"/>
                <w:sz w:val="20"/>
                <w:szCs w:val="20"/>
              </w:rPr>
              <w:t>1,6</w:t>
            </w:r>
          </w:p>
        </w:tc>
        <w:tc>
          <w:tcPr>
            <w:tcW w:w="1700" w:type="dxa"/>
            <w:tcBorders>
              <w:top w:val="nil"/>
              <w:left w:val="nil"/>
              <w:bottom w:val="single" w:sz="4" w:space="0" w:color="auto"/>
              <w:right w:val="single" w:sz="4" w:space="0" w:color="auto"/>
            </w:tcBorders>
            <w:shd w:val="clear" w:color="auto" w:fill="auto"/>
            <w:noWrap/>
            <w:vAlign w:val="center"/>
          </w:tcPr>
          <w:p w:rsidR="00916EA3" w:rsidRPr="002B6FDE" w:rsidRDefault="00916EA3" w:rsidP="00916EA3">
            <w:pPr>
              <w:jc w:val="right"/>
              <w:rPr>
                <w:rFonts w:ascii="Arial" w:hAnsi="Arial" w:cs="Arial"/>
                <w:b/>
                <w:color w:val="000000"/>
                <w:sz w:val="20"/>
                <w:szCs w:val="20"/>
              </w:rPr>
            </w:pPr>
            <w:r w:rsidRPr="002B6FDE">
              <w:rPr>
                <w:rFonts w:ascii="Arial" w:hAnsi="Arial" w:cs="Arial"/>
                <w:b/>
                <w:color w:val="000000"/>
                <w:sz w:val="20"/>
                <w:szCs w:val="20"/>
              </w:rPr>
              <w:t>2,7</w:t>
            </w:r>
          </w:p>
        </w:tc>
      </w:tr>
    </w:tbl>
    <w:p w:rsidR="00916EA3" w:rsidRPr="002B6FDE" w:rsidRDefault="00916EA3" w:rsidP="009014A4">
      <w:pPr>
        <w:autoSpaceDE w:val="0"/>
        <w:autoSpaceDN w:val="0"/>
        <w:adjustRightInd w:val="0"/>
        <w:spacing w:after="0" w:line="240" w:lineRule="auto"/>
        <w:ind w:left="-142"/>
        <w:jc w:val="both"/>
        <w:rPr>
          <w:rFonts w:ascii="Arial" w:hAnsi="Arial" w:cs="Arial"/>
          <w:bCs/>
          <w:i/>
          <w:sz w:val="16"/>
          <w:szCs w:val="16"/>
        </w:rPr>
      </w:pPr>
      <w:r w:rsidRPr="002B6FDE">
        <w:rPr>
          <w:rFonts w:ascii="Arial" w:hAnsi="Arial" w:cs="Arial"/>
          <w:bCs/>
          <w:i/>
          <w:sz w:val="16"/>
          <w:szCs w:val="16"/>
        </w:rPr>
        <w:t>Champ : entreprises de 10 salariés ou plus</w:t>
      </w:r>
    </w:p>
    <w:p w:rsidR="00916EA3" w:rsidRDefault="00916EA3" w:rsidP="009014A4">
      <w:pPr>
        <w:autoSpaceDE w:val="0"/>
        <w:autoSpaceDN w:val="0"/>
        <w:adjustRightInd w:val="0"/>
        <w:spacing w:after="0" w:line="240" w:lineRule="auto"/>
        <w:ind w:left="-142"/>
        <w:jc w:val="both"/>
        <w:rPr>
          <w:rFonts w:ascii="Arial" w:hAnsi="Arial" w:cs="Arial"/>
          <w:bCs/>
          <w:i/>
          <w:sz w:val="16"/>
          <w:szCs w:val="16"/>
        </w:rPr>
      </w:pPr>
      <w:r w:rsidRPr="002B6FDE">
        <w:rPr>
          <w:rFonts w:ascii="Arial" w:hAnsi="Arial" w:cs="Arial"/>
          <w:bCs/>
          <w:i/>
          <w:sz w:val="16"/>
          <w:szCs w:val="16"/>
        </w:rPr>
        <w:t>Source : DARES, enquêtes Acemo-PIPA 2016</w:t>
      </w:r>
    </w:p>
    <w:p w:rsidR="00042414" w:rsidRDefault="00042414" w:rsidP="00042414">
      <w:pPr>
        <w:autoSpaceDE w:val="0"/>
        <w:autoSpaceDN w:val="0"/>
        <w:adjustRightInd w:val="0"/>
        <w:jc w:val="center"/>
        <w:rPr>
          <w:rFonts w:ascii="Arial" w:hAnsi="Arial" w:cs="Arial"/>
          <w:b/>
          <w:bCs/>
          <w:sz w:val="20"/>
          <w:szCs w:val="20"/>
        </w:rPr>
      </w:pPr>
      <w:r w:rsidRPr="002B6FDE">
        <w:rPr>
          <w:rFonts w:ascii="Arial" w:hAnsi="Arial" w:cs="Arial"/>
          <w:b/>
          <w:bCs/>
          <w:sz w:val="20"/>
          <w:szCs w:val="20"/>
        </w:rPr>
        <w:lastRenderedPageBreak/>
        <w:t>Tableau 2 : Répartition des PEI par secteur d’activité en 2015</w:t>
      </w:r>
      <w:r>
        <w:rPr>
          <w:rFonts w:ascii="Arial" w:hAnsi="Arial" w:cs="Arial"/>
          <w:b/>
          <w:bCs/>
          <w:sz w:val="20"/>
          <w:szCs w:val="20"/>
        </w:rPr>
        <w:t>,</w:t>
      </w:r>
    </w:p>
    <w:p w:rsidR="00042414" w:rsidRPr="002B6FDE" w:rsidRDefault="00042414" w:rsidP="00042414">
      <w:pPr>
        <w:autoSpaceDE w:val="0"/>
        <w:autoSpaceDN w:val="0"/>
        <w:adjustRightInd w:val="0"/>
        <w:jc w:val="center"/>
        <w:rPr>
          <w:rFonts w:ascii="Arial" w:hAnsi="Arial" w:cs="Arial"/>
          <w:b/>
          <w:bCs/>
          <w:sz w:val="20"/>
          <w:szCs w:val="20"/>
        </w:rPr>
      </w:pPr>
      <w:r w:rsidRPr="002B6FDE">
        <w:rPr>
          <w:rFonts w:ascii="Arial" w:hAnsi="Arial" w:cs="Arial"/>
          <w:b/>
          <w:bCs/>
          <w:sz w:val="20"/>
          <w:szCs w:val="20"/>
        </w:rPr>
        <w:t>pour les entreprises de 50 salariés ou plus (en %)</w:t>
      </w:r>
    </w:p>
    <w:tbl>
      <w:tblPr>
        <w:tblW w:w="9825" w:type="dxa"/>
        <w:jc w:val="center"/>
        <w:tblInd w:w="-2100" w:type="dxa"/>
        <w:tblCellMar>
          <w:left w:w="70" w:type="dxa"/>
          <w:right w:w="70" w:type="dxa"/>
        </w:tblCellMar>
        <w:tblLook w:val="04A0" w:firstRow="1" w:lastRow="0" w:firstColumn="1" w:lastColumn="0" w:noHBand="0" w:noVBand="1"/>
      </w:tblPr>
      <w:tblGrid>
        <w:gridCol w:w="4035"/>
        <w:gridCol w:w="1150"/>
        <w:gridCol w:w="1150"/>
        <w:gridCol w:w="1111"/>
        <w:gridCol w:w="1245"/>
        <w:gridCol w:w="1134"/>
      </w:tblGrid>
      <w:tr w:rsidR="00042414" w:rsidRPr="002B6FDE" w:rsidTr="00797D54">
        <w:trPr>
          <w:trHeight w:val="300"/>
          <w:jc w:val="center"/>
        </w:trPr>
        <w:tc>
          <w:tcPr>
            <w:tcW w:w="4035" w:type="dxa"/>
            <w:tcBorders>
              <w:top w:val="nil"/>
              <w:left w:val="nil"/>
              <w:bottom w:val="nil"/>
              <w:right w:val="nil"/>
            </w:tcBorders>
            <w:shd w:val="clear" w:color="auto" w:fill="auto"/>
            <w:noWrap/>
            <w:vAlign w:val="bottom"/>
            <w:hideMark/>
          </w:tcPr>
          <w:p w:rsidR="00042414" w:rsidRPr="002B6FDE" w:rsidRDefault="00042414" w:rsidP="00797D54">
            <w:pPr>
              <w:rPr>
                <w:rFonts w:ascii="Arial" w:hAnsi="Arial" w:cs="Arial"/>
                <w:b/>
                <w:bCs/>
                <w:color w:val="000000"/>
                <w:sz w:val="20"/>
                <w:szCs w:val="20"/>
              </w:rPr>
            </w:pPr>
          </w:p>
        </w:tc>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Part d'entreprises qui ont un PEI</w:t>
            </w:r>
          </w:p>
        </w:tc>
        <w:tc>
          <w:tcPr>
            <w:tcW w:w="3490" w:type="dxa"/>
            <w:gridSpan w:val="3"/>
            <w:tcBorders>
              <w:top w:val="single" w:sz="4" w:space="0" w:color="auto"/>
              <w:left w:val="nil"/>
              <w:bottom w:val="single" w:sz="4" w:space="0" w:color="auto"/>
              <w:right w:val="single" w:sz="4" w:space="0" w:color="auto"/>
            </w:tcBorders>
            <w:shd w:val="clear" w:color="auto" w:fill="auto"/>
            <w:noWrap/>
            <w:vAlign w:val="center"/>
            <w:hideMark/>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Part de salariés qui ont un PEI</w:t>
            </w:r>
          </w:p>
        </w:tc>
      </w:tr>
      <w:tr w:rsidR="00042414" w:rsidRPr="002B6FDE" w:rsidTr="00797D54">
        <w:trPr>
          <w:trHeight w:val="900"/>
          <w:jc w:val="center"/>
        </w:trPr>
        <w:tc>
          <w:tcPr>
            <w:tcW w:w="4035" w:type="dxa"/>
            <w:tcBorders>
              <w:top w:val="single" w:sz="4" w:space="0" w:color="auto"/>
              <w:left w:val="single" w:sz="4" w:space="0" w:color="auto"/>
              <w:bottom w:val="single" w:sz="4" w:space="0" w:color="auto"/>
              <w:right w:val="nil"/>
            </w:tcBorders>
            <w:shd w:val="clear" w:color="auto" w:fill="auto"/>
            <w:vAlign w:val="center"/>
            <w:hideMark/>
          </w:tcPr>
          <w:p w:rsidR="00042414" w:rsidRPr="002B6FDE" w:rsidRDefault="00042414" w:rsidP="00797D54">
            <w:pPr>
              <w:jc w:val="center"/>
              <w:rPr>
                <w:rFonts w:ascii="Arial" w:hAnsi="Arial" w:cs="Arial"/>
                <w:color w:val="000000"/>
                <w:sz w:val="20"/>
                <w:szCs w:val="20"/>
              </w:rPr>
            </w:pPr>
            <w:r w:rsidRPr="002B6FDE">
              <w:rPr>
                <w:rFonts w:ascii="Arial" w:hAnsi="Arial" w:cs="Arial"/>
                <w:color w:val="000000"/>
                <w:sz w:val="20"/>
                <w:szCs w:val="20"/>
              </w:rPr>
              <w:t>Secteur d'activité de l'entreprise</w:t>
            </w:r>
          </w:p>
        </w:tc>
        <w:tc>
          <w:tcPr>
            <w:tcW w:w="1150" w:type="dxa"/>
            <w:tcBorders>
              <w:top w:val="nil"/>
              <w:left w:val="single" w:sz="4" w:space="0" w:color="auto"/>
              <w:bottom w:val="single" w:sz="4" w:space="0" w:color="auto"/>
              <w:right w:val="single" w:sz="4" w:space="0" w:color="auto"/>
            </w:tcBorders>
            <w:shd w:val="clear" w:color="auto" w:fill="auto"/>
            <w:vAlign w:val="center"/>
            <w:hideMark/>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parmi l'ensemble des entreprises</w:t>
            </w:r>
          </w:p>
        </w:tc>
        <w:tc>
          <w:tcPr>
            <w:tcW w:w="1150" w:type="dxa"/>
            <w:tcBorders>
              <w:top w:val="nil"/>
              <w:left w:val="nil"/>
              <w:bottom w:val="single" w:sz="4" w:space="0" w:color="auto"/>
              <w:right w:val="single" w:sz="4" w:space="0" w:color="auto"/>
            </w:tcBorders>
            <w:shd w:val="clear" w:color="auto" w:fill="auto"/>
            <w:vAlign w:val="center"/>
            <w:hideMark/>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parmi les entreprises qui ont un PEE</w:t>
            </w:r>
          </w:p>
        </w:tc>
        <w:tc>
          <w:tcPr>
            <w:tcW w:w="1111" w:type="dxa"/>
            <w:tcBorders>
              <w:top w:val="nil"/>
              <w:left w:val="nil"/>
              <w:bottom w:val="single" w:sz="4" w:space="0" w:color="auto"/>
              <w:right w:val="single" w:sz="4" w:space="0" w:color="auto"/>
            </w:tcBorders>
            <w:shd w:val="clear" w:color="auto" w:fill="auto"/>
            <w:vAlign w:val="center"/>
            <w:hideMark/>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parmi l'ensemble des salariés</w:t>
            </w:r>
          </w:p>
        </w:tc>
        <w:tc>
          <w:tcPr>
            <w:tcW w:w="1245" w:type="dxa"/>
            <w:tcBorders>
              <w:top w:val="nil"/>
              <w:left w:val="nil"/>
              <w:bottom w:val="single" w:sz="4" w:space="0" w:color="auto"/>
              <w:right w:val="single" w:sz="4" w:space="0" w:color="auto"/>
            </w:tcBorders>
            <w:shd w:val="clear" w:color="auto" w:fill="auto"/>
            <w:vAlign w:val="center"/>
            <w:hideMark/>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parmi les salariés qui ont accès à un PEE</w:t>
            </w:r>
          </w:p>
        </w:tc>
        <w:tc>
          <w:tcPr>
            <w:tcW w:w="1134" w:type="dxa"/>
            <w:tcBorders>
              <w:top w:val="nil"/>
              <w:left w:val="nil"/>
              <w:bottom w:val="single" w:sz="4" w:space="0" w:color="auto"/>
              <w:right w:val="single" w:sz="4" w:space="0" w:color="auto"/>
            </w:tcBorders>
            <w:shd w:val="clear" w:color="auto" w:fill="auto"/>
            <w:vAlign w:val="center"/>
            <w:hideMark/>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parmi les salariés ayant épargné sur un PEE</w:t>
            </w:r>
          </w:p>
        </w:tc>
      </w:tr>
      <w:tr w:rsidR="00042414" w:rsidRPr="002B6FDE" w:rsidTr="00797D54">
        <w:trPr>
          <w:trHeight w:val="758"/>
          <w:jc w:val="center"/>
        </w:trPr>
        <w:tc>
          <w:tcPr>
            <w:tcW w:w="4035" w:type="dxa"/>
            <w:tcBorders>
              <w:top w:val="nil"/>
              <w:left w:val="single" w:sz="4" w:space="0" w:color="auto"/>
              <w:bottom w:val="nil"/>
              <w:right w:val="single" w:sz="4" w:space="0" w:color="auto"/>
            </w:tcBorders>
            <w:shd w:val="clear" w:color="auto" w:fill="auto"/>
            <w:vAlign w:val="center"/>
            <w:hideMark/>
          </w:tcPr>
          <w:p w:rsidR="00042414" w:rsidRPr="002B6FDE" w:rsidRDefault="00042414" w:rsidP="00797D54">
            <w:pPr>
              <w:rPr>
                <w:rFonts w:ascii="Arial" w:hAnsi="Arial" w:cs="Arial"/>
                <w:color w:val="000000"/>
                <w:sz w:val="20"/>
                <w:szCs w:val="20"/>
              </w:rPr>
            </w:pPr>
            <w:r w:rsidRPr="002B6FDE">
              <w:rPr>
                <w:rFonts w:ascii="Arial" w:hAnsi="Arial" w:cs="Arial"/>
                <w:color w:val="000000"/>
                <w:sz w:val="20"/>
                <w:szCs w:val="20"/>
              </w:rPr>
              <w:t>Fabrication de denrées alimentaires, de boisson et de produits à base de tabac</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0,1</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0,1</w:t>
            </w:r>
          </w:p>
        </w:tc>
        <w:tc>
          <w:tcPr>
            <w:tcW w:w="1111"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0,1</w:t>
            </w:r>
          </w:p>
        </w:tc>
        <w:tc>
          <w:tcPr>
            <w:tcW w:w="1245"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0,2</w:t>
            </w:r>
          </w:p>
        </w:tc>
        <w:tc>
          <w:tcPr>
            <w:tcW w:w="1134"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0,4</w:t>
            </w:r>
          </w:p>
        </w:tc>
      </w:tr>
      <w:tr w:rsidR="00042414" w:rsidRPr="002B6FDE" w:rsidTr="00797D54">
        <w:trPr>
          <w:trHeight w:val="268"/>
          <w:jc w:val="center"/>
        </w:trPr>
        <w:tc>
          <w:tcPr>
            <w:tcW w:w="4035" w:type="dxa"/>
            <w:tcBorders>
              <w:top w:val="nil"/>
              <w:left w:val="single" w:sz="4" w:space="0" w:color="auto"/>
              <w:bottom w:val="nil"/>
              <w:right w:val="single" w:sz="4" w:space="0" w:color="auto"/>
            </w:tcBorders>
            <w:shd w:val="clear" w:color="auto" w:fill="auto"/>
            <w:vAlign w:val="center"/>
            <w:hideMark/>
          </w:tcPr>
          <w:p w:rsidR="00042414" w:rsidRPr="002B6FDE" w:rsidRDefault="00042414" w:rsidP="00797D54">
            <w:pPr>
              <w:rPr>
                <w:rFonts w:ascii="Arial" w:hAnsi="Arial" w:cs="Arial"/>
                <w:color w:val="000000"/>
                <w:sz w:val="20"/>
                <w:szCs w:val="20"/>
              </w:rPr>
            </w:pPr>
            <w:r w:rsidRPr="002B6FDE">
              <w:rPr>
                <w:rFonts w:ascii="Arial" w:hAnsi="Arial" w:cs="Arial"/>
                <w:color w:val="000000"/>
                <w:sz w:val="20"/>
                <w:szCs w:val="20"/>
              </w:rPr>
              <w:t>Cokéfaction et raffinage</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0,0</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0,0</w:t>
            </w:r>
          </w:p>
        </w:tc>
        <w:tc>
          <w:tcPr>
            <w:tcW w:w="1111"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0,0</w:t>
            </w:r>
          </w:p>
        </w:tc>
        <w:tc>
          <w:tcPr>
            <w:tcW w:w="1245"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0,0</w:t>
            </w:r>
          </w:p>
        </w:tc>
        <w:tc>
          <w:tcPr>
            <w:tcW w:w="1134"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0,0</w:t>
            </w:r>
          </w:p>
        </w:tc>
      </w:tr>
      <w:tr w:rsidR="00042414" w:rsidRPr="002B6FDE" w:rsidTr="00797D54">
        <w:trPr>
          <w:trHeight w:val="994"/>
          <w:jc w:val="center"/>
        </w:trPr>
        <w:tc>
          <w:tcPr>
            <w:tcW w:w="4035" w:type="dxa"/>
            <w:tcBorders>
              <w:top w:val="nil"/>
              <w:left w:val="single" w:sz="4" w:space="0" w:color="auto"/>
              <w:bottom w:val="nil"/>
              <w:right w:val="single" w:sz="4" w:space="0" w:color="auto"/>
            </w:tcBorders>
            <w:shd w:val="clear" w:color="auto" w:fill="auto"/>
            <w:vAlign w:val="center"/>
            <w:hideMark/>
          </w:tcPr>
          <w:p w:rsidR="00042414" w:rsidRPr="002B6FDE" w:rsidRDefault="00042414" w:rsidP="00797D54">
            <w:pPr>
              <w:rPr>
                <w:rFonts w:ascii="Arial" w:hAnsi="Arial" w:cs="Arial"/>
                <w:color w:val="000000"/>
                <w:sz w:val="20"/>
                <w:szCs w:val="20"/>
              </w:rPr>
            </w:pPr>
            <w:r w:rsidRPr="002B6FDE">
              <w:rPr>
                <w:rFonts w:ascii="Arial" w:hAnsi="Arial" w:cs="Arial"/>
                <w:color w:val="000000"/>
                <w:sz w:val="20"/>
                <w:szCs w:val="20"/>
              </w:rPr>
              <w:t>Fabrication d’équipements électriques, électroniques, informatiques, fabrication de machines</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0,6</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1,0</w:t>
            </w:r>
          </w:p>
        </w:tc>
        <w:tc>
          <w:tcPr>
            <w:tcW w:w="1111"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0,1</w:t>
            </w:r>
          </w:p>
        </w:tc>
        <w:tc>
          <w:tcPr>
            <w:tcW w:w="1245"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0,2</w:t>
            </w:r>
          </w:p>
        </w:tc>
        <w:tc>
          <w:tcPr>
            <w:tcW w:w="1134"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0,2</w:t>
            </w:r>
          </w:p>
        </w:tc>
      </w:tr>
      <w:tr w:rsidR="00042414" w:rsidRPr="002B6FDE" w:rsidTr="00797D54">
        <w:trPr>
          <w:trHeight w:val="302"/>
          <w:jc w:val="center"/>
        </w:trPr>
        <w:tc>
          <w:tcPr>
            <w:tcW w:w="4035" w:type="dxa"/>
            <w:tcBorders>
              <w:top w:val="nil"/>
              <w:left w:val="single" w:sz="4" w:space="0" w:color="auto"/>
              <w:bottom w:val="nil"/>
              <w:right w:val="single" w:sz="4" w:space="0" w:color="auto"/>
            </w:tcBorders>
            <w:shd w:val="clear" w:color="auto" w:fill="auto"/>
            <w:vAlign w:val="center"/>
            <w:hideMark/>
          </w:tcPr>
          <w:p w:rsidR="00042414" w:rsidRPr="002B6FDE" w:rsidRDefault="00042414" w:rsidP="00797D54">
            <w:pPr>
              <w:rPr>
                <w:rFonts w:ascii="Arial" w:hAnsi="Arial" w:cs="Arial"/>
                <w:color w:val="000000"/>
                <w:sz w:val="20"/>
                <w:szCs w:val="20"/>
              </w:rPr>
            </w:pPr>
            <w:r w:rsidRPr="002B6FDE">
              <w:rPr>
                <w:rFonts w:ascii="Arial" w:hAnsi="Arial" w:cs="Arial"/>
                <w:color w:val="000000"/>
                <w:sz w:val="20"/>
                <w:szCs w:val="20"/>
              </w:rPr>
              <w:t>Fabrication de matériels de transport</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0,2</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0,4</w:t>
            </w:r>
          </w:p>
        </w:tc>
        <w:tc>
          <w:tcPr>
            <w:tcW w:w="1111"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0,1</w:t>
            </w:r>
          </w:p>
        </w:tc>
        <w:tc>
          <w:tcPr>
            <w:tcW w:w="1245"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0,1</w:t>
            </w:r>
          </w:p>
        </w:tc>
        <w:tc>
          <w:tcPr>
            <w:tcW w:w="1134"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0,2</w:t>
            </w:r>
          </w:p>
        </w:tc>
      </w:tr>
      <w:tr w:rsidR="00042414" w:rsidRPr="002B6FDE" w:rsidTr="00797D54">
        <w:trPr>
          <w:trHeight w:val="420"/>
          <w:jc w:val="center"/>
        </w:trPr>
        <w:tc>
          <w:tcPr>
            <w:tcW w:w="4035" w:type="dxa"/>
            <w:tcBorders>
              <w:top w:val="nil"/>
              <w:left w:val="single" w:sz="4" w:space="0" w:color="auto"/>
              <w:bottom w:val="nil"/>
              <w:right w:val="single" w:sz="4" w:space="0" w:color="auto"/>
            </w:tcBorders>
            <w:shd w:val="clear" w:color="auto" w:fill="auto"/>
            <w:vAlign w:val="center"/>
            <w:hideMark/>
          </w:tcPr>
          <w:p w:rsidR="00042414" w:rsidRPr="002B6FDE" w:rsidRDefault="00042414" w:rsidP="00797D54">
            <w:pPr>
              <w:rPr>
                <w:rFonts w:ascii="Arial" w:hAnsi="Arial" w:cs="Arial"/>
                <w:color w:val="000000"/>
                <w:sz w:val="20"/>
                <w:szCs w:val="20"/>
              </w:rPr>
            </w:pPr>
            <w:r w:rsidRPr="002B6FDE">
              <w:rPr>
                <w:rFonts w:ascii="Arial" w:hAnsi="Arial" w:cs="Arial"/>
                <w:color w:val="000000"/>
                <w:sz w:val="20"/>
                <w:szCs w:val="20"/>
              </w:rPr>
              <w:t xml:space="preserve">Fabrication d’autres produits industriels </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2,8</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4,5</w:t>
            </w:r>
          </w:p>
        </w:tc>
        <w:tc>
          <w:tcPr>
            <w:tcW w:w="1111"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1,1</w:t>
            </w:r>
          </w:p>
        </w:tc>
        <w:tc>
          <w:tcPr>
            <w:tcW w:w="1245"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1,4</w:t>
            </w:r>
          </w:p>
        </w:tc>
        <w:tc>
          <w:tcPr>
            <w:tcW w:w="1134"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2,4</w:t>
            </w:r>
          </w:p>
        </w:tc>
      </w:tr>
      <w:tr w:rsidR="00042414" w:rsidRPr="002B6FDE" w:rsidTr="00797D54">
        <w:trPr>
          <w:trHeight w:val="566"/>
          <w:jc w:val="center"/>
        </w:trPr>
        <w:tc>
          <w:tcPr>
            <w:tcW w:w="4035" w:type="dxa"/>
            <w:tcBorders>
              <w:top w:val="nil"/>
              <w:left w:val="single" w:sz="4" w:space="0" w:color="auto"/>
              <w:bottom w:val="nil"/>
              <w:right w:val="single" w:sz="4" w:space="0" w:color="auto"/>
            </w:tcBorders>
            <w:shd w:val="clear" w:color="auto" w:fill="auto"/>
            <w:vAlign w:val="center"/>
            <w:hideMark/>
          </w:tcPr>
          <w:p w:rsidR="00042414" w:rsidRPr="002B6FDE" w:rsidRDefault="00042414" w:rsidP="00797D54">
            <w:pPr>
              <w:rPr>
                <w:rFonts w:ascii="Arial" w:hAnsi="Arial" w:cs="Arial"/>
                <w:color w:val="000000"/>
                <w:sz w:val="20"/>
                <w:szCs w:val="20"/>
              </w:rPr>
            </w:pPr>
            <w:r w:rsidRPr="002B6FDE">
              <w:rPr>
                <w:rFonts w:ascii="Arial" w:hAnsi="Arial" w:cs="Arial"/>
                <w:color w:val="000000"/>
                <w:sz w:val="20"/>
                <w:szCs w:val="20"/>
              </w:rPr>
              <w:t>Industries extractives, énergie, eau, gestion des déchets et dépollution</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0,4</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0,8</w:t>
            </w:r>
          </w:p>
        </w:tc>
        <w:tc>
          <w:tcPr>
            <w:tcW w:w="1111"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0,2</w:t>
            </w:r>
          </w:p>
        </w:tc>
        <w:tc>
          <w:tcPr>
            <w:tcW w:w="1245"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0,2</w:t>
            </w:r>
          </w:p>
        </w:tc>
        <w:tc>
          <w:tcPr>
            <w:tcW w:w="1134"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0,3</w:t>
            </w:r>
          </w:p>
        </w:tc>
      </w:tr>
      <w:tr w:rsidR="00042414" w:rsidRPr="002B6FDE" w:rsidTr="00797D54">
        <w:trPr>
          <w:trHeight w:val="432"/>
          <w:jc w:val="center"/>
        </w:trPr>
        <w:tc>
          <w:tcPr>
            <w:tcW w:w="4035" w:type="dxa"/>
            <w:tcBorders>
              <w:top w:val="nil"/>
              <w:left w:val="single" w:sz="4" w:space="0" w:color="auto"/>
              <w:bottom w:val="nil"/>
              <w:right w:val="single" w:sz="4" w:space="0" w:color="auto"/>
            </w:tcBorders>
            <w:shd w:val="clear" w:color="auto" w:fill="auto"/>
            <w:vAlign w:val="center"/>
            <w:hideMark/>
          </w:tcPr>
          <w:p w:rsidR="00042414" w:rsidRPr="002B6FDE" w:rsidRDefault="00042414" w:rsidP="00797D54">
            <w:pPr>
              <w:rPr>
                <w:rFonts w:ascii="Arial" w:hAnsi="Arial" w:cs="Arial"/>
                <w:color w:val="000000"/>
                <w:sz w:val="20"/>
                <w:szCs w:val="20"/>
              </w:rPr>
            </w:pPr>
            <w:r w:rsidRPr="002B6FDE">
              <w:rPr>
                <w:rFonts w:ascii="Arial" w:hAnsi="Arial" w:cs="Arial"/>
                <w:color w:val="000000"/>
                <w:sz w:val="20"/>
                <w:szCs w:val="20"/>
              </w:rPr>
              <w:t>Construction</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4,6</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7,9</w:t>
            </w:r>
          </w:p>
        </w:tc>
        <w:tc>
          <w:tcPr>
            <w:tcW w:w="1111"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1,5</w:t>
            </w:r>
          </w:p>
        </w:tc>
        <w:tc>
          <w:tcPr>
            <w:tcW w:w="1245"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2,0</w:t>
            </w:r>
          </w:p>
        </w:tc>
        <w:tc>
          <w:tcPr>
            <w:tcW w:w="1134"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3,7</w:t>
            </w:r>
          </w:p>
        </w:tc>
      </w:tr>
      <w:tr w:rsidR="00042414" w:rsidRPr="002B6FDE" w:rsidTr="00797D54">
        <w:trPr>
          <w:trHeight w:val="564"/>
          <w:jc w:val="center"/>
        </w:trPr>
        <w:tc>
          <w:tcPr>
            <w:tcW w:w="4035" w:type="dxa"/>
            <w:tcBorders>
              <w:top w:val="nil"/>
              <w:left w:val="single" w:sz="4" w:space="0" w:color="auto"/>
              <w:bottom w:val="nil"/>
              <w:right w:val="single" w:sz="4" w:space="0" w:color="auto"/>
            </w:tcBorders>
            <w:shd w:val="clear" w:color="auto" w:fill="auto"/>
            <w:vAlign w:val="center"/>
            <w:hideMark/>
          </w:tcPr>
          <w:p w:rsidR="00042414" w:rsidRPr="002B6FDE" w:rsidRDefault="00042414" w:rsidP="00797D54">
            <w:pPr>
              <w:rPr>
                <w:rFonts w:ascii="Arial" w:hAnsi="Arial" w:cs="Arial"/>
                <w:color w:val="000000"/>
                <w:sz w:val="20"/>
                <w:szCs w:val="20"/>
              </w:rPr>
            </w:pPr>
            <w:r w:rsidRPr="002B6FDE">
              <w:rPr>
                <w:rFonts w:ascii="Arial" w:hAnsi="Arial" w:cs="Arial"/>
                <w:color w:val="000000"/>
                <w:sz w:val="20"/>
                <w:szCs w:val="20"/>
              </w:rPr>
              <w:t>Commerce, réparation d’automobiles et de motocycles</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3,4</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6,4</w:t>
            </w:r>
          </w:p>
        </w:tc>
        <w:tc>
          <w:tcPr>
            <w:tcW w:w="1111"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0,5</w:t>
            </w:r>
          </w:p>
        </w:tc>
        <w:tc>
          <w:tcPr>
            <w:tcW w:w="1245"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0,7</w:t>
            </w:r>
          </w:p>
        </w:tc>
        <w:tc>
          <w:tcPr>
            <w:tcW w:w="1134"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1,3</w:t>
            </w:r>
          </w:p>
        </w:tc>
      </w:tr>
      <w:tr w:rsidR="00042414" w:rsidRPr="002B6FDE" w:rsidTr="00797D54">
        <w:trPr>
          <w:trHeight w:val="415"/>
          <w:jc w:val="center"/>
        </w:trPr>
        <w:tc>
          <w:tcPr>
            <w:tcW w:w="4035" w:type="dxa"/>
            <w:tcBorders>
              <w:top w:val="nil"/>
              <w:left w:val="single" w:sz="4" w:space="0" w:color="auto"/>
              <w:bottom w:val="nil"/>
              <w:right w:val="single" w:sz="4" w:space="0" w:color="auto"/>
            </w:tcBorders>
            <w:shd w:val="clear" w:color="auto" w:fill="auto"/>
            <w:vAlign w:val="center"/>
            <w:hideMark/>
          </w:tcPr>
          <w:p w:rsidR="00042414" w:rsidRPr="002B6FDE" w:rsidRDefault="00042414" w:rsidP="00797D54">
            <w:pPr>
              <w:rPr>
                <w:rFonts w:ascii="Arial" w:hAnsi="Arial" w:cs="Arial"/>
                <w:color w:val="000000"/>
                <w:sz w:val="20"/>
                <w:szCs w:val="20"/>
              </w:rPr>
            </w:pPr>
            <w:r w:rsidRPr="002B6FDE">
              <w:rPr>
                <w:rFonts w:ascii="Arial" w:hAnsi="Arial" w:cs="Arial"/>
                <w:color w:val="000000"/>
                <w:sz w:val="20"/>
                <w:szCs w:val="20"/>
              </w:rPr>
              <w:t xml:space="preserve">Transports et entreposage </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5,0</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11,8</w:t>
            </w:r>
          </w:p>
        </w:tc>
        <w:tc>
          <w:tcPr>
            <w:tcW w:w="1111"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0,5</w:t>
            </w:r>
          </w:p>
        </w:tc>
        <w:tc>
          <w:tcPr>
            <w:tcW w:w="1245"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0,6</w:t>
            </w:r>
          </w:p>
        </w:tc>
        <w:tc>
          <w:tcPr>
            <w:tcW w:w="1134"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1,4</w:t>
            </w:r>
          </w:p>
        </w:tc>
      </w:tr>
      <w:tr w:rsidR="00042414" w:rsidRPr="002B6FDE" w:rsidTr="00797D54">
        <w:trPr>
          <w:trHeight w:val="437"/>
          <w:jc w:val="center"/>
        </w:trPr>
        <w:tc>
          <w:tcPr>
            <w:tcW w:w="4035" w:type="dxa"/>
            <w:tcBorders>
              <w:top w:val="nil"/>
              <w:left w:val="single" w:sz="4" w:space="0" w:color="auto"/>
              <w:bottom w:val="nil"/>
              <w:right w:val="single" w:sz="4" w:space="0" w:color="auto"/>
            </w:tcBorders>
            <w:shd w:val="clear" w:color="auto" w:fill="auto"/>
            <w:vAlign w:val="center"/>
            <w:hideMark/>
          </w:tcPr>
          <w:p w:rsidR="00042414" w:rsidRPr="002B6FDE" w:rsidRDefault="00042414" w:rsidP="00797D54">
            <w:pPr>
              <w:rPr>
                <w:rFonts w:ascii="Arial" w:hAnsi="Arial" w:cs="Arial"/>
                <w:color w:val="000000"/>
                <w:sz w:val="20"/>
                <w:szCs w:val="20"/>
              </w:rPr>
            </w:pPr>
            <w:r w:rsidRPr="002B6FDE">
              <w:rPr>
                <w:rFonts w:ascii="Arial" w:hAnsi="Arial" w:cs="Arial"/>
                <w:color w:val="000000"/>
                <w:sz w:val="20"/>
                <w:szCs w:val="20"/>
              </w:rPr>
              <w:t>Hébergement et restauration</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0,6</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3,9</w:t>
            </w:r>
          </w:p>
        </w:tc>
        <w:tc>
          <w:tcPr>
            <w:tcW w:w="1111"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0,1</w:t>
            </w:r>
          </w:p>
        </w:tc>
        <w:tc>
          <w:tcPr>
            <w:tcW w:w="1245"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0,1</w:t>
            </w:r>
          </w:p>
        </w:tc>
        <w:tc>
          <w:tcPr>
            <w:tcW w:w="1134"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0,4</w:t>
            </w:r>
          </w:p>
        </w:tc>
      </w:tr>
      <w:tr w:rsidR="00042414" w:rsidRPr="002B6FDE" w:rsidTr="00797D54">
        <w:trPr>
          <w:trHeight w:val="274"/>
          <w:jc w:val="center"/>
        </w:trPr>
        <w:tc>
          <w:tcPr>
            <w:tcW w:w="4035" w:type="dxa"/>
            <w:tcBorders>
              <w:top w:val="nil"/>
              <w:left w:val="single" w:sz="4" w:space="0" w:color="auto"/>
              <w:bottom w:val="nil"/>
              <w:right w:val="single" w:sz="4" w:space="0" w:color="auto"/>
            </w:tcBorders>
            <w:shd w:val="clear" w:color="auto" w:fill="auto"/>
            <w:vAlign w:val="center"/>
            <w:hideMark/>
          </w:tcPr>
          <w:p w:rsidR="00042414" w:rsidRPr="002B6FDE" w:rsidRDefault="00042414" w:rsidP="00797D54">
            <w:pPr>
              <w:rPr>
                <w:rFonts w:ascii="Arial" w:hAnsi="Arial" w:cs="Arial"/>
                <w:color w:val="000000"/>
                <w:sz w:val="20"/>
                <w:szCs w:val="20"/>
              </w:rPr>
            </w:pPr>
            <w:r w:rsidRPr="002B6FDE">
              <w:rPr>
                <w:rFonts w:ascii="Arial" w:hAnsi="Arial" w:cs="Arial"/>
                <w:color w:val="000000"/>
                <w:sz w:val="20"/>
                <w:szCs w:val="20"/>
              </w:rPr>
              <w:t>Information et communication</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3,0</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5,5</w:t>
            </w:r>
          </w:p>
        </w:tc>
        <w:tc>
          <w:tcPr>
            <w:tcW w:w="1111"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0,7</w:t>
            </w:r>
          </w:p>
        </w:tc>
        <w:tc>
          <w:tcPr>
            <w:tcW w:w="1245"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1,0</w:t>
            </w:r>
          </w:p>
        </w:tc>
        <w:tc>
          <w:tcPr>
            <w:tcW w:w="1134"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0,7</w:t>
            </w:r>
          </w:p>
        </w:tc>
      </w:tr>
      <w:tr w:rsidR="00042414" w:rsidRPr="002B6FDE" w:rsidTr="00797D54">
        <w:trPr>
          <w:trHeight w:val="433"/>
          <w:jc w:val="center"/>
        </w:trPr>
        <w:tc>
          <w:tcPr>
            <w:tcW w:w="4035" w:type="dxa"/>
            <w:tcBorders>
              <w:top w:val="nil"/>
              <w:left w:val="single" w:sz="4" w:space="0" w:color="auto"/>
              <w:bottom w:val="nil"/>
              <w:right w:val="single" w:sz="4" w:space="0" w:color="auto"/>
            </w:tcBorders>
            <w:shd w:val="clear" w:color="auto" w:fill="auto"/>
            <w:vAlign w:val="center"/>
            <w:hideMark/>
          </w:tcPr>
          <w:p w:rsidR="00042414" w:rsidRPr="002B6FDE" w:rsidRDefault="00042414" w:rsidP="00797D54">
            <w:pPr>
              <w:rPr>
                <w:rFonts w:ascii="Arial" w:hAnsi="Arial" w:cs="Arial"/>
                <w:color w:val="000000"/>
                <w:sz w:val="20"/>
                <w:szCs w:val="20"/>
              </w:rPr>
            </w:pPr>
            <w:r w:rsidRPr="002B6FDE">
              <w:rPr>
                <w:rFonts w:ascii="Arial" w:hAnsi="Arial" w:cs="Arial"/>
                <w:color w:val="000000"/>
                <w:sz w:val="20"/>
                <w:szCs w:val="20"/>
              </w:rPr>
              <w:t>Activités financières et d’assurance</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1,9</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2,7</w:t>
            </w:r>
          </w:p>
        </w:tc>
        <w:tc>
          <w:tcPr>
            <w:tcW w:w="1111"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1,1</w:t>
            </w:r>
          </w:p>
        </w:tc>
        <w:tc>
          <w:tcPr>
            <w:tcW w:w="1245"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1,2</w:t>
            </w:r>
          </w:p>
        </w:tc>
        <w:tc>
          <w:tcPr>
            <w:tcW w:w="1134"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1,4</w:t>
            </w:r>
          </w:p>
        </w:tc>
      </w:tr>
      <w:tr w:rsidR="00042414" w:rsidRPr="002B6FDE" w:rsidTr="00797D54">
        <w:trPr>
          <w:trHeight w:val="269"/>
          <w:jc w:val="center"/>
        </w:trPr>
        <w:tc>
          <w:tcPr>
            <w:tcW w:w="4035" w:type="dxa"/>
            <w:tcBorders>
              <w:top w:val="nil"/>
              <w:left w:val="single" w:sz="4" w:space="0" w:color="auto"/>
              <w:bottom w:val="nil"/>
              <w:right w:val="single" w:sz="4" w:space="0" w:color="auto"/>
            </w:tcBorders>
            <w:shd w:val="clear" w:color="auto" w:fill="auto"/>
            <w:vAlign w:val="center"/>
            <w:hideMark/>
          </w:tcPr>
          <w:p w:rsidR="00042414" w:rsidRPr="002B6FDE" w:rsidRDefault="00042414" w:rsidP="00797D54">
            <w:pPr>
              <w:rPr>
                <w:rFonts w:ascii="Arial" w:hAnsi="Arial" w:cs="Arial"/>
                <w:color w:val="000000"/>
                <w:sz w:val="20"/>
                <w:szCs w:val="20"/>
              </w:rPr>
            </w:pPr>
            <w:r w:rsidRPr="002B6FDE">
              <w:rPr>
                <w:rFonts w:ascii="Arial" w:hAnsi="Arial" w:cs="Arial"/>
                <w:color w:val="000000"/>
                <w:sz w:val="20"/>
                <w:szCs w:val="20"/>
              </w:rPr>
              <w:t>Activités immobilières</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2,0</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3,1</w:t>
            </w:r>
          </w:p>
        </w:tc>
        <w:tc>
          <w:tcPr>
            <w:tcW w:w="1111"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0,5</w:t>
            </w:r>
          </w:p>
        </w:tc>
        <w:tc>
          <w:tcPr>
            <w:tcW w:w="1245"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0,7</w:t>
            </w:r>
          </w:p>
        </w:tc>
        <w:tc>
          <w:tcPr>
            <w:tcW w:w="1134"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1,6</w:t>
            </w:r>
          </w:p>
        </w:tc>
      </w:tr>
      <w:tr w:rsidR="00042414" w:rsidRPr="002B6FDE" w:rsidTr="00797D54">
        <w:trPr>
          <w:trHeight w:val="996"/>
          <w:jc w:val="center"/>
        </w:trPr>
        <w:tc>
          <w:tcPr>
            <w:tcW w:w="4035" w:type="dxa"/>
            <w:tcBorders>
              <w:top w:val="nil"/>
              <w:left w:val="single" w:sz="4" w:space="0" w:color="auto"/>
              <w:bottom w:val="nil"/>
              <w:right w:val="single" w:sz="4" w:space="0" w:color="auto"/>
            </w:tcBorders>
            <w:shd w:val="clear" w:color="auto" w:fill="auto"/>
            <w:vAlign w:val="center"/>
            <w:hideMark/>
          </w:tcPr>
          <w:p w:rsidR="00042414" w:rsidRPr="002B6FDE" w:rsidRDefault="00042414" w:rsidP="00797D54">
            <w:pPr>
              <w:rPr>
                <w:rFonts w:ascii="Arial" w:hAnsi="Arial" w:cs="Arial"/>
                <w:color w:val="000000"/>
                <w:sz w:val="20"/>
                <w:szCs w:val="20"/>
              </w:rPr>
            </w:pPr>
            <w:r w:rsidRPr="002B6FDE">
              <w:rPr>
                <w:rFonts w:ascii="Arial" w:hAnsi="Arial" w:cs="Arial"/>
                <w:color w:val="000000"/>
                <w:sz w:val="20"/>
                <w:szCs w:val="20"/>
              </w:rPr>
              <w:t>Activités spécialisées, scientifiques et techniques et activités de services administratifs et de soutien</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2,6</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6,1</w:t>
            </w:r>
          </w:p>
        </w:tc>
        <w:tc>
          <w:tcPr>
            <w:tcW w:w="1111"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0,5</w:t>
            </w:r>
          </w:p>
        </w:tc>
        <w:tc>
          <w:tcPr>
            <w:tcW w:w="1245"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0,9</w:t>
            </w:r>
          </w:p>
        </w:tc>
        <w:tc>
          <w:tcPr>
            <w:tcW w:w="1134"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1,6</w:t>
            </w:r>
          </w:p>
        </w:tc>
      </w:tr>
      <w:tr w:rsidR="00042414" w:rsidRPr="002B6FDE" w:rsidTr="00797D54">
        <w:trPr>
          <w:trHeight w:val="636"/>
          <w:jc w:val="center"/>
        </w:trPr>
        <w:tc>
          <w:tcPr>
            <w:tcW w:w="4035" w:type="dxa"/>
            <w:tcBorders>
              <w:top w:val="nil"/>
              <w:left w:val="single" w:sz="4" w:space="0" w:color="auto"/>
              <w:bottom w:val="nil"/>
              <w:right w:val="single" w:sz="4" w:space="0" w:color="auto"/>
            </w:tcBorders>
            <w:shd w:val="clear" w:color="auto" w:fill="auto"/>
            <w:vAlign w:val="center"/>
            <w:hideMark/>
          </w:tcPr>
          <w:p w:rsidR="00042414" w:rsidRPr="002B6FDE" w:rsidRDefault="00042414" w:rsidP="00797D54">
            <w:pPr>
              <w:rPr>
                <w:rFonts w:ascii="Arial" w:hAnsi="Arial" w:cs="Arial"/>
                <w:color w:val="000000"/>
                <w:sz w:val="20"/>
                <w:szCs w:val="20"/>
              </w:rPr>
            </w:pPr>
            <w:r w:rsidRPr="002B6FDE">
              <w:rPr>
                <w:rFonts w:ascii="Arial" w:hAnsi="Arial" w:cs="Arial"/>
                <w:color w:val="000000"/>
                <w:sz w:val="20"/>
                <w:szCs w:val="20"/>
              </w:rPr>
              <w:t>Administration publique, enseignement, santé humaine et action sociale</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0,9</w:t>
            </w:r>
          </w:p>
        </w:tc>
        <w:tc>
          <w:tcPr>
            <w:tcW w:w="1150"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4,0</w:t>
            </w:r>
          </w:p>
        </w:tc>
        <w:tc>
          <w:tcPr>
            <w:tcW w:w="1111"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0,5</w:t>
            </w:r>
          </w:p>
        </w:tc>
        <w:tc>
          <w:tcPr>
            <w:tcW w:w="1245"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1,7</w:t>
            </w:r>
          </w:p>
        </w:tc>
        <w:tc>
          <w:tcPr>
            <w:tcW w:w="1134" w:type="dxa"/>
            <w:tcBorders>
              <w:top w:val="nil"/>
              <w:left w:val="nil"/>
              <w:bottom w:val="nil"/>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5,0</w:t>
            </w:r>
          </w:p>
        </w:tc>
      </w:tr>
      <w:tr w:rsidR="00042414" w:rsidRPr="002B6FDE" w:rsidTr="00797D54">
        <w:trPr>
          <w:trHeight w:val="323"/>
          <w:jc w:val="center"/>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042414" w:rsidRPr="002B6FDE" w:rsidRDefault="00042414" w:rsidP="00797D54">
            <w:pPr>
              <w:rPr>
                <w:rFonts w:ascii="Arial" w:hAnsi="Arial" w:cs="Arial"/>
                <w:color w:val="000000"/>
                <w:sz w:val="20"/>
                <w:szCs w:val="20"/>
              </w:rPr>
            </w:pPr>
            <w:r w:rsidRPr="002B6FDE">
              <w:rPr>
                <w:rFonts w:ascii="Arial" w:hAnsi="Arial" w:cs="Arial"/>
                <w:color w:val="000000"/>
                <w:sz w:val="20"/>
                <w:szCs w:val="20"/>
              </w:rPr>
              <w:t>Autres activités de services</w:t>
            </w:r>
          </w:p>
        </w:tc>
        <w:tc>
          <w:tcPr>
            <w:tcW w:w="1150" w:type="dxa"/>
            <w:tcBorders>
              <w:top w:val="nil"/>
              <w:left w:val="nil"/>
              <w:bottom w:val="single" w:sz="4" w:space="0" w:color="auto"/>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0,9</w:t>
            </w:r>
          </w:p>
        </w:tc>
        <w:tc>
          <w:tcPr>
            <w:tcW w:w="1150" w:type="dxa"/>
            <w:tcBorders>
              <w:top w:val="nil"/>
              <w:left w:val="nil"/>
              <w:bottom w:val="single" w:sz="4" w:space="0" w:color="auto"/>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5,3</w:t>
            </w:r>
          </w:p>
        </w:tc>
        <w:tc>
          <w:tcPr>
            <w:tcW w:w="1111" w:type="dxa"/>
            <w:tcBorders>
              <w:top w:val="nil"/>
              <w:left w:val="nil"/>
              <w:bottom w:val="single" w:sz="4" w:space="0" w:color="auto"/>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0,2</w:t>
            </w:r>
          </w:p>
        </w:tc>
        <w:tc>
          <w:tcPr>
            <w:tcW w:w="1245" w:type="dxa"/>
            <w:tcBorders>
              <w:top w:val="nil"/>
              <w:left w:val="nil"/>
              <w:bottom w:val="single" w:sz="4" w:space="0" w:color="auto"/>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0,5</w:t>
            </w:r>
          </w:p>
        </w:tc>
        <w:tc>
          <w:tcPr>
            <w:tcW w:w="1134" w:type="dxa"/>
            <w:tcBorders>
              <w:top w:val="nil"/>
              <w:left w:val="nil"/>
              <w:bottom w:val="single" w:sz="4" w:space="0" w:color="auto"/>
              <w:right w:val="single" w:sz="4" w:space="0" w:color="auto"/>
            </w:tcBorders>
            <w:shd w:val="clear" w:color="auto" w:fill="auto"/>
            <w:vAlign w:val="center"/>
          </w:tcPr>
          <w:p w:rsidR="00042414" w:rsidRPr="002B6FDE" w:rsidRDefault="00042414" w:rsidP="00ED6E24">
            <w:pPr>
              <w:jc w:val="center"/>
              <w:rPr>
                <w:rFonts w:ascii="Arial" w:hAnsi="Arial" w:cs="Arial"/>
                <w:color w:val="000000"/>
                <w:sz w:val="20"/>
                <w:szCs w:val="20"/>
              </w:rPr>
            </w:pPr>
            <w:r w:rsidRPr="002B6FDE">
              <w:rPr>
                <w:rFonts w:ascii="Arial" w:hAnsi="Arial" w:cs="Arial"/>
                <w:color w:val="000000"/>
                <w:sz w:val="20"/>
                <w:szCs w:val="20"/>
              </w:rPr>
              <w:t>1,2</w:t>
            </w:r>
          </w:p>
        </w:tc>
      </w:tr>
      <w:tr w:rsidR="00042414" w:rsidRPr="002B6FDE" w:rsidTr="00797D54">
        <w:trPr>
          <w:trHeight w:val="300"/>
          <w:jc w:val="center"/>
        </w:trPr>
        <w:tc>
          <w:tcPr>
            <w:tcW w:w="4035" w:type="dxa"/>
            <w:tcBorders>
              <w:top w:val="nil"/>
              <w:left w:val="single" w:sz="4" w:space="0" w:color="auto"/>
              <w:bottom w:val="single" w:sz="4" w:space="0" w:color="auto"/>
              <w:right w:val="nil"/>
            </w:tcBorders>
            <w:shd w:val="clear" w:color="auto" w:fill="auto"/>
            <w:noWrap/>
            <w:vAlign w:val="center"/>
            <w:hideMark/>
          </w:tcPr>
          <w:p w:rsidR="00042414" w:rsidRPr="002B6FDE" w:rsidRDefault="00042414" w:rsidP="00797D54">
            <w:pPr>
              <w:rPr>
                <w:rFonts w:ascii="Arial" w:hAnsi="Arial" w:cs="Arial"/>
                <w:b/>
                <w:color w:val="000000"/>
                <w:sz w:val="20"/>
                <w:szCs w:val="20"/>
              </w:rPr>
            </w:pPr>
            <w:r w:rsidRPr="002B6FDE">
              <w:rPr>
                <w:rFonts w:ascii="Arial" w:hAnsi="Arial" w:cs="Arial"/>
                <w:b/>
                <w:color w:val="000000"/>
                <w:sz w:val="20"/>
                <w:szCs w:val="20"/>
              </w:rPr>
              <w:t>Entreprises d’au moins 50 salariés</w:t>
            </w:r>
          </w:p>
        </w:tc>
        <w:tc>
          <w:tcPr>
            <w:tcW w:w="1150" w:type="dxa"/>
            <w:tcBorders>
              <w:top w:val="nil"/>
              <w:left w:val="single" w:sz="4" w:space="0" w:color="auto"/>
              <w:bottom w:val="single" w:sz="4" w:space="0" w:color="auto"/>
              <w:right w:val="single" w:sz="4" w:space="0" w:color="auto"/>
            </w:tcBorders>
            <w:shd w:val="clear" w:color="auto" w:fill="auto"/>
            <w:noWrap/>
            <w:vAlign w:val="center"/>
          </w:tcPr>
          <w:p w:rsidR="00042414" w:rsidRPr="002B6FDE" w:rsidRDefault="00042414" w:rsidP="00ED6E24">
            <w:pPr>
              <w:jc w:val="center"/>
              <w:rPr>
                <w:rFonts w:ascii="Arial" w:hAnsi="Arial" w:cs="Arial"/>
                <w:b/>
                <w:color w:val="000000"/>
                <w:sz w:val="20"/>
                <w:szCs w:val="20"/>
              </w:rPr>
            </w:pPr>
            <w:r w:rsidRPr="002B6FDE">
              <w:rPr>
                <w:rFonts w:ascii="Arial" w:hAnsi="Arial" w:cs="Arial"/>
                <w:b/>
                <w:color w:val="000000"/>
                <w:sz w:val="20"/>
                <w:szCs w:val="20"/>
              </w:rPr>
              <w:t>2,5</w:t>
            </w:r>
          </w:p>
        </w:tc>
        <w:tc>
          <w:tcPr>
            <w:tcW w:w="1150" w:type="dxa"/>
            <w:tcBorders>
              <w:top w:val="nil"/>
              <w:left w:val="nil"/>
              <w:bottom w:val="single" w:sz="4" w:space="0" w:color="auto"/>
              <w:right w:val="single" w:sz="4" w:space="0" w:color="auto"/>
            </w:tcBorders>
            <w:shd w:val="clear" w:color="auto" w:fill="auto"/>
            <w:noWrap/>
            <w:vAlign w:val="center"/>
          </w:tcPr>
          <w:p w:rsidR="00042414" w:rsidRPr="002B6FDE" w:rsidRDefault="00042414" w:rsidP="00ED6E24">
            <w:pPr>
              <w:jc w:val="center"/>
              <w:rPr>
                <w:rFonts w:ascii="Arial" w:hAnsi="Arial" w:cs="Arial"/>
                <w:b/>
                <w:color w:val="000000"/>
                <w:sz w:val="20"/>
                <w:szCs w:val="20"/>
              </w:rPr>
            </w:pPr>
            <w:r w:rsidRPr="002B6FDE">
              <w:rPr>
                <w:rFonts w:ascii="Arial" w:hAnsi="Arial" w:cs="Arial"/>
                <w:b/>
                <w:color w:val="000000"/>
                <w:sz w:val="20"/>
                <w:szCs w:val="20"/>
              </w:rPr>
              <w:t>5,3</w:t>
            </w:r>
          </w:p>
        </w:tc>
        <w:tc>
          <w:tcPr>
            <w:tcW w:w="1111" w:type="dxa"/>
            <w:tcBorders>
              <w:top w:val="nil"/>
              <w:left w:val="nil"/>
              <w:bottom w:val="single" w:sz="4" w:space="0" w:color="auto"/>
              <w:right w:val="single" w:sz="4" w:space="0" w:color="auto"/>
            </w:tcBorders>
            <w:shd w:val="clear" w:color="auto" w:fill="auto"/>
            <w:noWrap/>
            <w:vAlign w:val="center"/>
          </w:tcPr>
          <w:p w:rsidR="00042414" w:rsidRPr="002B6FDE" w:rsidRDefault="00042414" w:rsidP="00ED6E24">
            <w:pPr>
              <w:jc w:val="center"/>
              <w:rPr>
                <w:rFonts w:ascii="Arial" w:hAnsi="Arial" w:cs="Arial"/>
                <w:b/>
                <w:color w:val="000000"/>
                <w:sz w:val="20"/>
                <w:szCs w:val="20"/>
              </w:rPr>
            </w:pPr>
            <w:r w:rsidRPr="002B6FDE">
              <w:rPr>
                <w:rFonts w:ascii="Arial" w:hAnsi="Arial" w:cs="Arial"/>
                <w:b/>
                <w:color w:val="000000"/>
                <w:sz w:val="20"/>
                <w:szCs w:val="20"/>
              </w:rPr>
              <w:t>0,6</w:t>
            </w:r>
          </w:p>
        </w:tc>
        <w:tc>
          <w:tcPr>
            <w:tcW w:w="1245" w:type="dxa"/>
            <w:tcBorders>
              <w:top w:val="nil"/>
              <w:left w:val="nil"/>
              <w:bottom w:val="single" w:sz="4" w:space="0" w:color="auto"/>
              <w:right w:val="single" w:sz="4" w:space="0" w:color="auto"/>
            </w:tcBorders>
            <w:shd w:val="clear" w:color="auto" w:fill="auto"/>
            <w:noWrap/>
            <w:vAlign w:val="center"/>
          </w:tcPr>
          <w:p w:rsidR="00042414" w:rsidRPr="002B6FDE" w:rsidRDefault="00042414" w:rsidP="00ED6E24">
            <w:pPr>
              <w:jc w:val="center"/>
              <w:rPr>
                <w:rFonts w:ascii="Arial" w:hAnsi="Arial" w:cs="Arial"/>
                <w:b/>
                <w:color w:val="000000"/>
                <w:sz w:val="20"/>
                <w:szCs w:val="20"/>
              </w:rPr>
            </w:pPr>
            <w:r w:rsidRPr="002B6FDE">
              <w:rPr>
                <w:rFonts w:ascii="Arial" w:hAnsi="Arial" w:cs="Arial"/>
                <w:b/>
                <w:color w:val="000000"/>
                <w:sz w:val="20"/>
                <w:szCs w:val="20"/>
              </w:rPr>
              <w:t>0,8</w:t>
            </w:r>
          </w:p>
        </w:tc>
        <w:tc>
          <w:tcPr>
            <w:tcW w:w="1134" w:type="dxa"/>
            <w:tcBorders>
              <w:top w:val="nil"/>
              <w:left w:val="nil"/>
              <w:bottom w:val="single" w:sz="4" w:space="0" w:color="auto"/>
              <w:right w:val="single" w:sz="4" w:space="0" w:color="auto"/>
            </w:tcBorders>
            <w:shd w:val="clear" w:color="auto" w:fill="auto"/>
            <w:noWrap/>
            <w:vAlign w:val="center"/>
          </w:tcPr>
          <w:p w:rsidR="00042414" w:rsidRPr="002B6FDE" w:rsidRDefault="00042414" w:rsidP="00ED6E24">
            <w:pPr>
              <w:jc w:val="center"/>
              <w:rPr>
                <w:rFonts w:ascii="Arial" w:hAnsi="Arial" w:cs="Arial"/>
                <w:b/>
                <w:color w:val="000000"/>
                <w:sz w:val="20"/>
                <w:szCs w:val="20"/>
              </w:rPr>
            </w:pPr>
            <w:r w:rsidRPr="002B6FDE">
              <w:rPr>
                <w:rFonts w:ascii="Arial" w:hAnsi="Arial" w:cs="Arial"/>
                <w:b/>
                <w:color w:val="000000"/>
                <w:sz w:val="20"/>
                <w:szCs w:val="20"/>
              </w:rPr>
              <w:t>1,3</w:t>
            </w:r>
          </w:p>
        </w:tc>
      </w:tr>
    </w:tbl>
    <w:p w:rsidR="00042414" w:rsidRPr="002B6FDE" w:rsidRDefault="00042414" w:rsidP="009014A4">
      <w:pPr>
        <w:autoSpaceDE w:val="0"/>
        <w:autoSpaceDN w:val="0"/>
        <w:adjustRightInd w:val="0"/>
        <w:spacing w:after="0" w:line="240" w:lineRule="auto"/>
        <w:ind w:left="-142"/>
        <w:jc w:val="both"/>
        <w:rPr>
          <w:rFonts w:ascii="Arial" w:hAnsi="Arial" w:cs="Arial"/>
          <w:bCs/>
          <w:i/>
          <w:sz w:val="16"/>
          <w:szCs w:val="16"/>
        </w:rPr>
      </w:pPr>
      <w:r w:rsidRPr="002B6FDE">
        <w:rPr>
          <w:rFonts w:ascii="Arial" w:hAnsi="Arial" w:cs="Arial"/>
          <w:bCs/>
          <w:i/>
          <w:sz w:val="16"/>
          <w:szCs w:val="16"/>
        </w:rPr>
        <w:t>Champ : entreprises de 50 salariés ou plus</w:t>
      </w:r>
    </w:p>
    <w:p w:rsidR="00042414" w:rsidRPr="002B6FDE" w:rsidRDefault="00042414" w:rsidP="009014A4">
      <w:pPr>
        <w:autoSpaceDE w:val="0"/>
        <w:autoSpaceDN w:val="0"/>
        <w:adjustRightInd w:val="0"/>
        <w:spacing w:after="0" w:line="240" w:lineRule="auto"/>
        <w:ind w:left="-142"/>
        <w:jc w:val="both"/>
        <w:rPr>
          <w:rFonts w:ascii="Arial" w:hAnsi="Arial" w:cs="Arial"/>
          <w:b/>
          <w:bCs/>
          <w:sz w:val="16"/>
          <w:szCs w:val="16"/>
        </w:rPr>
      </w:pPr>
      <w:r w:rsidRPr="002B6FDE">
        <w:rPr>
          <w:rFonts w:ascii="Arial" w:hAnsi="Arial" w:cs="Arial"/>
          <w:bCs/>
          <w:i/>
          <w:sz w:val="16"/>
          <w:szCs w:val="16"/>
        </w:rPr>
        <w:t>Source : DARES, enquêtes Acemo-PIPA 2016</w:t>
      </w:r>
    </w:p>
    <w:p w:rsidR="00916EA3" w:rsidRPr="00B7240C" w:rsidRDefault="00916EA3" w:rsidP="00916EA3">
      <w:pPr>
        <w:autoSpaceDE w:val="0"/>
        <w:jc w:val="center"/>
        <w:rPr>
          <w:rFonts w:ascii="Arial" w:hAnsi="Arial" w:cs="Arial"/>
          <w:b/>
          <w:bCs/>
          <w:sz w:val="20"/>
          <w:szCs w:val="20"/>
        </w:rPr>
      </w:pPr>
      <w:r w:rsidRPr="00B7240C">
        <w:rPr>
          <w:rFonts w:ascii="Arial" w:hAnsi="Arial" w:cs="Arial"/>
          <w:b/>
          <w:bCs/>
          <w:sz w:val="26"/>
          <w:szCs w:val="26"/>
        </w:rPr>
        <w:lastRenderedPageBreak/>
        <w:t xml:space="preserve">Fiche </w:t>
      </w:r>
      <w:r>
        <w:rPr>
          <w:rFonts w:ascii="Arial" w:hAnsi="Arial" w:cs="Arial"/>
          <w:b/>
          <w:bCs/>
          <w:sz w:val="26"/>
          <w:szCs w:val="26"/>
        </w:rPr>
        <w:t>9</w:t>
      </w:r>
      <w:r w:rsidRPr="00B7240C">
        <w:rPr>
          <w:rFonts w:ascii="Arial" w:hAnsi="Arial" w:cs="Arial"/>
          <w:b/>
          <w:bCs/>
          <w:sz w:val="26"/>
          <w:szCs w:val="26"/>
        </w:rPr>
        <w:t xml:space="preserve"> : </w:t>
      </w:r>
      <w:r>
        <w:rPr>
          <w:rFonts w:ascii="Arial" w:hAnsi="Arial" w:cs="Arial"/>
          <w:b/>
          <w:bCs/>
          <w:sz w:val="26"/>
          <w:szCs w:val="26"/>
        </w:rPr>
        <w:t>Nouveaux résultats pour la simulation 10%*BC</w:t>
      </w:r>
    </w:p>
    <w:p w:rsidR="00916EA3" w:rsidRDefault="00916EA3" w:rsidP="00916EA3">
      <w:pPr>
        <w:autoSpaceDE w:val="0"/>
        <w:jc w:val="both"/>
        <w:rPr>
          <w:rFonts w:ascii="Arial" w:hAnsi="Arial" w:cs="Arial"/>
          <w:sz w:val="20"/>
          <w:szCs w:val="20"/>
        </w:rPr>
      </w:pPr>
      <w:r>
        <w:rPr>
          <w:rFonts w:ascii="Arial" w:hAnsi="Arial" w:cs="Arial"/>
          <w:sz w:val="20"/>
          <w:szCs w:val="20"/>
        </w:rPr>
        <w:t xml:space="preserve">Cette fiche actualise les résultats présentés lors de la réunion du </w:t>
      </w:r>
      <w:r w:rsidR="00ED6E24">
        <w:rPr>
          <w:rFonts w:ascii="Arial" w:hAnsi="Arial" w:cs="Arial"/>
          <w:sz w:val="20"/>
          <w:szCs w:val="20"/>
        </w:rPr>
        <w:t xml:space="preserve">COPIESAS </w:t>
      </w:r>
      <w:r>
        <w:rPr>
          <w:rFonts w:ascii="Arial" w:hAnsi="Arial" w:cs="Arial"/>
          <w:sz w:val="20"/>
          <w:szCs w:val="20"/>
        </w:rPr>
        <w:t xml:space="preserve">du 13 mars 2018. La Dares ayant à cette occasion mis en évidence le caractère atypique des entreprises sièges sociaux, pour lesquelles les formules de réserve de participation assises sur le bénéfice comptable accroissent considérablement les montants de participation, il a été convenu d’une modification de la définition du bénéfice comptable utilisé dans la formule qui tienne compte de la spécificité de ces entreprises. </w:t>
      </w:r>
    </w:p>
    <w:p w:rsidR="00916EA3" w:rsidRDefault="00916EA3" w:rsidP="00916EA3">
      <w:pPr>
        <w:autoSpaceDE w:val="0"/>
        <w:jc w:val="both"/>
        <w:rPr>
          <w:rFonts w:ascii="Arial" w:hAnsi="Arial" w:cs="Arial"/>
          <w:sz w:val="20"/>
          <w:szCs w:val="20"/>
        </w:rPr>
      </w:pPr>
      <w:r>
        <w:rPr>
          <w:rFonts w:ascii="Arial" w:hAnsi="Arial" w:cs="Arial"/>
          <w:sz w:val="20"/>
          <w:szCs w:val="20"/>
        </w:rPr>
        <w:t>En effet, les sièges sociaux profitent des dividendes versés par leurs filiales, qui viennent gonfler leurs bénéfices comptables. Or, une participation a déjà été prélevée sur ces dividendes au profit des salariés des filiales. Avec les formules assises sur le bénéfice comptable, les sièges sociaux prélèveraient une deuxième fois la participation sur ces dividendes sans avoir contribué à les générer. Ce phénomène n’existe pas avec la formule actuelle qui repose sur le bénéfice fiscal car les dividendes versés par les filiales à leur maison-mère sont presque intégralement déduits du bénéfice fiscal de la maison-mère.</w:t>
      </w:r>
    </w:p>
    <w:p w:rsidR="00916EA3" w:rsidRDefault="00916EA3" w:rsidP="00916EA3">
      <w:pPr>
        <w:autoSpaceDE w:val="0"/>
        <w:jc w:val="both"/>
        <w:rPr>
          <w:rFonts w:ascii="Arial" w:hAnsi="Arial" w:cs="Arial"/>
          <w:bCs/>
          <w:sz w:val="20"/>
          <w:szCs w:val="20"/>
        </w:rPr>
      </w:pPr>
      <w:r>
        <w:rPr>
          <w:rFonts w:ascii="Arial" w:hAnsi="Arial" w:cs="Arial"/>
          <w:bCs/>
          <w:sz w:val="20"/>
          <w:szCs w:val="20"/>
        </w:rPr>
        <w:t xml:space="preserve">Pour remédier à ce problème, il a donc été proposé par les membres du </w:t>
      </w:r>
      <w:r w:rsidR="00ED6E24">
        <w:rPr>
          <w:rFonts w:ascii="Arial" w:hAnsi="Arial" w:cs="Arial"/>
          <w:bCs/>
          <w:sz w:val="20"/>
          <w:szCs w:val="20"/>
        </w:rPr>
        <w:t xml:space="preserve">COPIESAS </w:t>
      </w:r>
      <w:r>
        <w:rPr>
          <w:rFonts w:ascii="Arial" w:hAnsi="Arial" w:cs="Arial"/>
          <w:bCs/>
          <w:sz w:val="20"/>
          <w:szCs w:val="20"/>
        </w:rPr>
        <w:t xml:space="preserve">de </w:t>
      </w:r>
      <w:r w:rsidRPr="00A916CB">
        <w:rPr>
          <w:rFonts w:ascii="Arial" w:hAnsi="Arial" w:cs="Arial"/>
          <w:b/>
          <w:bCs/>
          <w:sz w:val="20"/>
          <w:szCs w:val="20"/>
        </w:rPr>
        <w:t xml:space="preserve">retirer du bénéfice comptable utilisé </w:t>
      </w:r>
      <w:r w:rsidRPr="00A916CB">
        <w:rPr>
          <w:rFonts w:ascii="Arial" w:hAnsi="Arial" w:cs="Arial"/>
          <w:bCs/>
          <w:sz w:val="20"/>
          <w:szCs w:val="20"/>
        </w:rPr>
        <w:t>(ligne HN des liasses fiscales)</w:t>
      </w:r>
      <w:r w:rsidRPr="00A916CB">
        <w:rPr>
          <w:rFonts w:ascii="Arial" w:hAnsi="Arial" w:cs="Arial"/>
          <w:b/>
          <w:bCs/>
          <w:sz w:val="20"/>
          <w:szCs w:val="20"/>
        </w:rPr>
        <w:t xml:space="preserve"> les produits financiers de participations</w:t>
      </w:r>
      <w:r>
        <w:rPr>
          <w:rFonts w:ascii="Arial" w:hAnsi="Arial" w:cs="Arial"/>
          <w:bCs/>
          <w:sz w:val="20"/>
          <w:szCs w:val="20"/>
        </w:rPr>
        <w:t xml:space="preserve"> (ligne GJ des liasses fiscales).</w:t>
      </w:r>
    </w:p>
    <w:p w:rsidR="00916EA3" w:rsidRDefault="00916EA3" w:rsidP="00916EA3">
      <w:pPr>
        <w:autoSpaceDE w:val="0"/>
        <w:jc w:val="both"/>
        <w:rPr>
          <w:rFonts w:ascii="Arial" w:hAnsi="Arial" w:cs="Arial"/>
          <w:bCs/>
          <w:sz w:val="20"/>
          <w:szCs w:val="20"/>
        </w:rPr>
      </w:pPr>
      <w:r>
        <w:rPr>
          <w:rFonts w:ascii="Arial" w:hAnsi="Arial" w:cs="Arial"/>
          <w:bCs/>
          <w:sz w:val="20"/>
          <w:szCs w:val="20"/>
        </w:rPr>
        <w:t xml:space="preserve">Les chiffres présentés dans cette fiche sont donc ceux relatifs à la simulation 10%*BC, scénario qui a retenu le plus d’attention auprès des membres du </w:t>
      </w:r>
      <w:r w:rsidR="00ED6E24">
        <w:rPr>
          <w:rFonts w:ascii="Arial" w:hAnsi="Arial" w:cs="Arial"/>
          <w:bCs/>
          <w:sz w:val="20"/>
          <w:szCs w:val="20"/>
        </w:rPr>
        <w:t xml:space="preserve">COPIESAS </w:t>
      </w:r>
      <w:r>
        <w:rPr>
          <w:rFonts w:ascii="Arial" w:hAnsi="Arial" w:cs="Arial"/>
          <w:bCs/>
          <w:sz w:val="20"/>
          <w:szCs w:val="20"/>
        </w:rPr>
        <w:t xml:space="preserve">et </w:t>
      </w:r>
      <w:r w:rsidRPr="00A916CB">
        <w:rPr>
          <w:rFonts w:ascii="Arial" w:hAnsi="Arial" w:cs="Arial"/>
          <w:b/>
          <w:bCs/>
          <w:sz w:val="20"/>
          <w:szCs w:val="20"/>
        </w:rPr>
        <w:t>prenant en compte cette définition modifiée du bénéfice comptable</w:t>
      </w:r>
      <w:r>
        <w:rPr>
          <w:rFonts w:ascii="Arial" w:hAnsi="Arial" w:cs="Arial"/>
          <w:bCs/>
          <w:sz w:val="20"/>
          <w:szCs w:val="20"/>
        </w:rPr>
        <w:t>.</w:t>
      </w:r>
    </w:p>
    <w:p w:rsidR="00916EA3" w:rsidRPr="00B7240C" w:rsidRDefault="00916EA3" w:rsidP="00916EA3">
      <w:pPr>
        <w:autoSpaceDE w:val="0"/>
        <w:jc w:val="both"/>
        <w:rPr>
          <w:rFonts w:ascii="Arial" w:hAnsi="Arial" w:cs="Arial"/>
          <w:b/>
          <w:bCs/>
          <w:sz w:val="20"/>
          <w:szCs w:val="20"/>
          <w:u w:val="single"/>
        </w:rPr>
      </w:pPr>
      <w:r>
        <w:rPr>
          <w:rFonts w:ascii="Arial" w:hAnsi="Arial" w:cs="Arial"/>
          <w:b/>
          <w:bCs/>
          <w:sz w:val="20"/>
          <w:szCs w:val="20"/>
          <w:u w:val="single"/>
        </w:rPr>
        <w:t>Avec la formule 10%*BC, les entreprises versent plus souvent de la participation qu’actuellement</w:t>
      </w:r>
    </w:p>
    <w:p w:rsidR="00916EA3" w:rsidRPr="00B7240C" w:rsidRDefault="00916EA3" w:rsidP="00916EA3">
      <w:pPr>
        <w:autoSpaceDE w:val="0"/>
        <w:jc w:val="both"/>
        <w:rPr>
          <w:rFonts w:ascii="Arial" w:hAnsi="Arial" w:cs="Arial"/>
          <w:b/>
          <w:bCs/>
          <w:sz w:val="20"/>
          <w:szCs w:val="20"/>
        </w:rPr>
      </w:pPr>
    </w:p>
    <w:p w:rsidR="00916EA3" w:rsidRPr="00B7240C" w:rsidRDefault="00916EA3" w:rsidP="00916EA3">
      <w:pPr>
        <w:autoSpaceDE w:val="0"/>
        <w:jc w:val="both"/>
        <w:rPr>
          <w:rFonts w:ascii="Arial" w:hAnsi="Arial" w:cs="Arial"/>
          <w:bCs/>
          <w:sz w:val="20"/>
          <w:szCs w:val="20"/>
        </w:rPr>
      </w:pPr>
      <w:r>
        <w:rPr>
          <w:rFonts w:ascii="Arial" w:hAnsi="Arial" w:cs="Arial"/>
          <w:bCs/>
          <w:sz w:val="20"/>
          <w:szCs w:val="20"/>
        </w:rPr>
        <w:t>L</w:t>
      </w:r>
      <w:r w:rsidRPr="00B7240C">
        <w:rPr>
          <w:rFonts w:ascii="Arial" w:hAnsi="Arial" w:cs="Arial"/>
          <w:bCs/>
          <w:sz w:val="20"/>
          <w:szCs w:val="20"/>
        </w:rPr>
        <w:t>a part d’entreprises qui versent de la participation augmente avec l</w:t>
      </w:r>
      <w:r>
        <w:rPr>
          <w:rFonts w:ascii="Arial" w:hAnsi="Arial" w:cs="Arial"/>
          <w:bCs/>
          <w:sz w:val="20"/>
          <w:szCs w:val="20"/>
        </w:rPr>
        <w:t xml:space="preserve">a </w:t>
      </w:r>
      <w:r w:rsidRPr="00B7240C">
        <w:rPr>
          <w:rFonts w:ascii="Arial" w:hAnsi="Arial" w:cs="Arial"/>
          <w:bCs/>
          <w:sz w:val="20"/>
          <w:szCs w:val="20"/>
        </w:rPr>
        <w:t>formule</w:t>
      </w:r>
      <w:r>
        <w:rPr>
          <w:rFonts w:ascii="Arial" w:hAnsi="Arial" w:cs="Arial"/>
          <w:bCs/>
          <w:sz w:val="20"/>
          <w:szCs w:val="20"/>
        </w:rPr>
        <w:t xml:space="preserve"> 10%*BC. </w:t>
      </w:r>
      <w:r w:rsidRPr="00B7240C">
        <w:rPr>
          <w:rFonts w:ascii="Arial" w:hAnsi="Arial" w:cs="Arial"/>
          <w:bCs/>
          <w:sz w:val="20"/>
          <w:szCs w:val="20"/>
        </w:rPr>
        <w:t>Selon les liasses fiscales, 37 % des entreprises de 50 salariés ou plus ont versé de la participation en 2015</w:t>
      </w:r>
      <w:r>
        <w:rPr>
          <w:rFonts w:ascii="Arial" w:hAnsi="Arial" w:cs="Arial"/>
          <w:bCs/>
          <w:sz w:val="20"/>
          <w:szCs w:val="20"/>
        </w:rPr>
        <w:t xml:space="preserve"> (graphique 1)</w:t>
      </w:r>
      <w:r w:rsidRPr="00B7240C">
        <w:rPr>
          <w:rFonts w:ascii="Arial" w:hAnsi="Arial" w:cs="Arial"/>
          <w:bCs/>
          <w:sz w:val="20"/>
          <w:szCs w:val="20"/>
        </w:rPr>
        <w:t xml:space="preserve">. Cette proportion est </w:t>
      </w:r>
      <w:r>
        <w:rPr>
          <w:rFonts w:ascii="Arial" w:hAnsi="Arial" w:cs="Arial"/>
          <w:bCs/>
          <w:sz w:val="20"/>
          <w:szCs w:val="20"/>
        </w:rPr>
        <w:t>de 67</w:t>
      </w:r>
      <w:r w:rsidRPr="00B7240C">
        <w:rPr>
          <w:rFonts w:ascii="Arial" w:hAnsi="Arial" w:cs="Arial"/>
          <w:bCs/>
          <w:sz w:val="20"/>
          <w:szCs w:val="20"/>
        </w:rPr>
        <w:t xml:space="preserve"> % dans </w:t>
      </w:r>
      <w:r>
        <w:rPr>
          <w:rFonts w:ascii="Arial" w:hAnsi="Arial" w:cs="Arial"/>
          <w:bCs/>
          <w:sz w:val="20"/>
          <w:szCs w:val="20"/>
        </w:rPr>
        <w:t xml:space="preserve">le cas de </w:t>
      </w:r>
      <w:r w:rsidRPr="00B7240C">
        <w:rPr>
          <w:rFonts w:ascii="Arial" w:hAnsi="Arial" w:cs="Arial"/>
          <w:bCs/>
          <w:sz w:val="20"/>
          <w:szCs w:val="20"/>
        </w:rPr>
        <w:t>l</w:t>
      </w:r>
      <w:r>
        <w:rPr>
          <w:rFonts w:ascii="Arial" w:hAnsi="Arial" w:cs="Arial"/>
          <w:bCs/>
          <w:sz w:val="20"/>
          <w:szCs w:val="20"/>
        </w:rPr>
        <w:t>a simulation 10%*BC</w:t>
      </w:r>
      <w:r w:rsidRPr="00B7240C">
        <w:rPr>
          <w:rFonts w:ascii="Arial" w:hAnsi="Arial" w:cs="Arial"/>
          <w:bCs/>
          <w:sz w:val="20"/>
          <w:szCs w:val="20"/>
        </w:rPr>
        <w:t>.</w:t>
      </w:r>
      <w:r>
        <w:rPr>
          <w:rFonts w:ascii="Arial" w:hAnsi="Arial" w:cs="Arial"/>
          <w:bCs/>
          <w:sz w:val="20"/>
          <w:szCs w:val="20"/>
        </w:rPr>
        <w:t xml:space="preserve"> 32</w:t>
      </w:r>
      <w:r w:rsidRPr="00B7240C">
        <w:rPr>
          <w:rFonts w:ascii="Arial" w:hAnsi="Arial" w:cs="Arial"/>
          <w:bCs/>
          <w:sz w:val="20"/>
          <w:szCs w:val="20"/>
        </w:rPr>
        <w:t xml:space="preserve"> % des entreprises</w:t>
      </w:r>
      <w:r>
        <w:rPr>
          <w:rFonts w:ascii="Arial" w:hAnsi="Arial" w:cs="Arial"/>
          <w:bCs/>
          <w:sz w:val="20"/>
          <w:szCs w:val="20"/>
        </w:rPr>
        <w:t xml:space="preserve"> du champ étudié</w:t>
      </w:r>
      <w:r w:rsidRPr="00B7240C">
        <w:rPr>
          <w:rFonts w:ascii="Arial" w:hAnsi="Arial" w:cs="Arial"/>
          <w:bCs/>
          <w:sz w:val="20"/>
          <w:szCs w:val="20"/>
        </w:rPr>
        <w:t xml:space="preserve"> se mettent à verser de la participation alors qu’elles n’en versen</w:t>
      </w:r>
      <w:r>
        <w:rPr>
          <w:rFonts w:ascii="Arial" w:hAnsi="Arial" w:cs="Arial"/>
          <w:bCs/>
          <w:sz w:val="20"/>
          <w:szCs w:val="20"/>
        </w:rPr>
        <w:t>t pas selon les liasses fiscales.</w:t>
      </w:r>
    </w:p>
    <w:p w:rsidR="00916EA3" w:rsidRPr="00B7240C" w:rsidRDefault="00916EA3" w:rsidP="00916EA3">
      <w:pPr>
        <w:autoSpaceDE w:val="0"/>
        <w:jc w:val="center"/>
      </w:pPr>
      <w:r w:rsidRPr="00B7240C">
        <w:rPr>
          <w:rFonts w:ascii="Arial" w:hAnsi="Arial" w:cs="Arial"/>
          <w:b/>
          <w:bCs/>
          <w:sz w:val="20"/>
          <w:szCs w:val="20"/>
        </w:rPr>
        <w:t xml:space="preserve">Graphique </w:t>
      </w:r>
      <w:r>
        <w:rPr>
          <w:rFonts w:ascii="Arial" w:hAnsi="Arial" w:cs="Arial"/>
          <w:b/>
          <w:bCs/>
          <w:sz w:val="20"/>
          <w:szCs w:val="20"/>
        </w:rPr>
        <w:t>1</w:t>
      </w:r>
      <w:r w:rsidRPr="00B7240C">
        <w:rPr>
          <w:rFonts w:ascii="Arial" w:hAnsi="Arial" w:cs="Arial"/>
          <w:b/>
          <w:bCs/>
          <w:sz w:val="20"/>
          <w:szCs w:val="20"/>
        </w:rPr>
        <w:t xml:space="preserve"> : P</w:t>
      </w:r>
      <w:r>
        <w:rPr>
          <w:rFonts w:ascii="Arial" w:hAnsi="Arial" w:cs="Arial"/>
          <w:b/>
          <w:bCs/>
          <w:sz w:val="20"/>
          <w:szCs w:val="20"/>
        </w:rPr>
        <w:t>roportion</w:t>
      </w:r>
      <w:r w:rsidRPr="00B7240C">
        <w:rPr>
          <w:rFonts w:ascii="Arial" w:hAnsi="Arial" w:cs="Arial"/>
          <w:b/>
          <w:bCs/>
          <w:sz w:val="20"/>
          <w:szCs w:val="20"/>
        </w:rPr>
        <w:t xml:space="preserve"> d’entreprises </w:t>
      </w:r>
      <w:r>
        <w:rPr>
          <w:rFonts w:ascii="Arial" w:hAnsi="Arial" w:cs="Arial"/>
          <w:b/>
          <w:bCs/>
          <w:sz w:val="20"/>
          <w:szCs w:val="20"/>
        </w:rPr>
        <w:t>qui versent de la participation</w:t>
      </w:r>
    </w:p>
    <w:p w:rsidR="00916EA3" w:rsidRPr="00B7240C" w:rsidRDefault="00916EA3" w:rsidP="00916EA3">
      <w:pPr>
        <w:autoSpaceDE w:val="0"/>
        <w:jc w:val="center"/>
        <w:rPr>
          <w:rFonts w:ascii="Arial" w:hAnsi="Arial" w:cs="Arial"/>
          <w:bCs/>
          <w:i/>
          <w:sz w:val="18"/>
          <w:szCs w:val="18"/>
        </w:rPr>
      </w:pPr>
      <w:r>
        <w:rPr>
          <w:noProof/>
          <w:lang w:eastAsia="fr-FR"/>
        </w:rPr>
        <w:drawing>
          <wp:inline distT="0" distB="0" distL="0" distR="0" wp14:anchorId="0696D3FC" wp14:editId="634F30FA">
            <wp:extent cx="4294505" cy="2406650"/>
            <wp:effectExtent l="0" t="0" r="0" b="0"/>
            <wp:docPr id="10" name="Graphiqu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16EA3" w:rsidRPr="009014A4" w:rsidRDefault="00916EA3" w:rsidP="009014A4">
      <w:pPr>
        <w:autoSpaceDE w:val="0"/>
        <w:autoSpaceDN w:val="0"/>
        <w:adjustRightInd w:val="0"/>
        <w:spacing w:after="0" w:line="240" w:lineRule="auto"/>
        <w:ind w:left="-142"/>
        <w:jc w:val="both"/>
        <w:rPr>
          <w:rFonts w:ascii="Arial" w:hAnsi="Arial" w:cs="Arial"/>
          <w:bCs/>
          <w:i/>
          <w:sz w:val="16"/>
          <w:szCs w:val="16"/>
        </w:rPr>
      </w:pPr>
      <w:r w:rsidRPr="009014A4">
        <w:rPr>
          <w:rFonts w:ascii="Arial" w:hAnsi="Arial" w:cs="Arial"/>
          <w:bCs/>
          <w:i/>
          <w:sz w:val="16"/>
          <w:szCs w:val="16"/>
        </w:rPr>
        <w:t>Champ : entreprises privées de 50 salariés ou plus, hors secteurs agricole et financier.</w:t>
      </w:r>
    </w:p>
    <w:p w:rsidR="00916EA3" w:rsidRDefault="00916EA3" w:rsidP="009014A4">
      <w:pPr>
        <w:autoSpaceDE w:val="0"/>
        <w:autoSpaceDN w:val="0"/>
        <w:adjustRightInd w:val="0"/>
        <w:spacing w:after="0" w:line="240" w:lineRule="auto"/>
        <w:ind w:left="-142"/>
        <w:jc w:val="both"/>
        <w:rPr>
          <w:rFonts w:ascii="Arial" w:hAnsi="Arial" w:cs="Arial"/>
          <w:bCs/>
          <w:i/>
          <w:sz w:val="16"/>
          <w:szCs w:val="16"/>
        </w:rPr>
      </w:pPr>
      <w:r w:rsidRPr="009014A4">
        <w:rPr>
          <w:rFonts w:ascii="Arial" w:hAnsi="Arial" w:cs="Arial"/>
          <w:bCs/>
          <w:i/>
          <w:sz w:val="16"/>
          <w:szCs w:val="16"/>
        </w:rPr>
        <w:t>Source : Insee - fichier Fare 2015, calculs Dares.</w:t>
      </w:r>
    </w:p>
    <w:p w:rsidR="00042414" w:rsidRDefault="00042414" w:rsidP="009014A4">
      <w:pPr>
        <w:autoSpaceDE w:val="0"/>
        <w:autoSpaceDN w:val="0"/>
        <w:adjustRightInd w:val="0"/>
        <w:spacing w:after="0" w:line="240" w:lineRule="auto"/>
        <w:ind w:left="-142"/>
        <w:jc w:val="both"/>
        <w:rPr>
          <w:rFonts w:ascii="Arial" w:hAnsi="Arial" w:cs="Arial"/>
          <w:bCs/>
          <w:i/>
          <w:sz w:val="16"/>
          <w:szCs w:val="16"/>
        </w:rPr>
      </w:pPr>
    </w:p>
    <w:p w:rsidR="00042414" w:rsidRPr="00B7240C" w:rsidRDefault="00042414" w:rsidP="009014A4">
      <w:pPr>
        <w:autoSpaceDE w:val="0"/>
        <w:autoSpaceDN w:val="0"/>
        <w:adjustRightInd w:val="0"/>
        <w:spacing w:after="0" w:line="240" w:lineRule="auto"/>
        <w:ind w:left="-142"/>
        <w:jc w:val="both"/>
        <w:rPr>
          <w:rFonts w:ascii="Arial" w:hAnsi="Arial" w:cs="Arial"/>
          <w:b/>
          <w:bCs/>
          <w:sz w:val="20"/>
          <w:szCs w:val="20"/>
          <w:lang w:eastAsia="fr-FR"/>
        </w:rPr>
      </w:pPr>
    </w:p>
    <w:p w:rsidR="00916EA3" w:rsidRDefault="00916EA3" w:rsidP="00916EA3">
      <w:pPr>
        <w:autoSpaceDE w:val="0"/>
        <w:jc w:val="both"/>
        <w:rPr>
          <w:rFonts w:ascii="Arial" w:hAnsi="Arial" w:cs="Arial"/>
          <w:bCs/>
          <w:sz w:val="20"/>
          <w:szCs w:val="20"/>
        </w:rPr>
      </w:pPr>
      <w:r>
        <w:rPr>
          <w:rFonts w:ascii="Arial" w:hAnsi="Arial" w:cs="Arial"/>
          <w:bCs/>
          <w:sz w:val="20"/>
          <w:szCs w:val="20"/>
        </w:rPr>
        <w:t>En conséquence, la formule</w:t>
      </w:r>
      <w:r w:rsidRPr="00B7240C">
        <w:rPr>
          <w:rFonts w:ascii="Arial" w:hAnsi="Arial" w:cs="Arial"/>
          <w:bCs/>
          <w:sz w:val="20"/>
          <w:szCs w:val="20"/>
        </w:rPr>
        <w:t xml:space="preserve"> </w:t>
      </w:r>
      <w:r>
        <w:rPr>
          <w:rFonts w:ascii="Arial" w:hAnsi="Arial" w:cs="Arial"/>
          <w:bCs/>
          <w:sz w:val="20"/>
          <w:szCs w:val="20"/>
        </w:rPr>
        <w:t xml:space="preserve">10%*BC entraîne </w:t>
      </w:r>
      <w:r w:rsidRPr="00B7240C">
        <w:rPr>
          <w:rFonts w:ascii="Arial" w:hAnsi="Arial" w:cs="Arial"/>
          <w:bCs/>
          <w:sz w:val="20"/>
          <w:szCs w:val="20"/>
        </w:rPr>
        <w:t>un</w:t>
      </w:r>
      <w:r>
        <w:rPr>
          <w:rFonts w:ascii="Arial" w:hAnsi="Arial" w:cs="Arial"/>
          <w:bCs/>
          <w:sz w:val="20"/>
          <w:szCs w:val="20"/>
        </w:rPr>
        <w:t xml:space="preserve"> surcroît</w:t>
      </w:r>
      <w:r w:rsidRPr="00B7240C">
        <w:rPr>
          <w:rFonts w:ascii="Arial" w:hAnsi="Arial" w:cs="Arial"/>
          <w:bCs/>
          <w:sz w:val="20"/>
          <w:szCs w:val="20"/>
        </w:rPr>
        <w:t xml:space="preserve"> du montant total de la participation </w:t>
      </w:r>
      <w:r>
        <w:rPr>
          <w:rFonts w:ascii="Arial" w:hAnsi="Arial" w:cs="Arial"/>
          <w:bCs/>
          <w:sz w:val="20"/>
          <w:szCs w:val="20"/>
        </w:rPr>
        <w:t>issu des liasses fiscales de 1,3 Md€ dans</w:t>
      </w:r>
      <w:r w:rsidRPr="00B7240C">
        <w:rPr>
          <w:rFonts w:ascii="Arial" w:hAnsi="Arial" w:cs="Arial"/>
          <w:bCs/>
          <w:sz w:val="20"/>
          <w:szCs w:val="20"/>
        </w:rPr>
        <w:t xml:space="preserve"> les entreprises de 50 salariés ou plus </w:t>
      </w:r>
      <w:r>
        <w:rPr>
          <w:rFonts w:ascii="Arial" w:hAnsi="Arial" w:cs="Arial"/>
          <w:bCs/>
          <w:sz w:val="20"/>
          <w:szCs w:val="20"/>
        </w:rPr>
        <w:t>(graphique 2</w:t>
      </w:r>
      <w:r w:rsidRPr="00B7240C">
        <w:rPr>
          <w:rFonts w:ascii="Arial" w:hAnsi="Arial" w:cs="Arial"/>
          <w:bCs/>
          <w:sz w:val="20"/>
          <w:szCs w:val="20"/>
        </w:rPr>
        <w:t>).</w:t>
      </w:r>
    </w:p>
    <w:p w:rsidR="00916EA3" w:rsidRDefault="00916EA3" w:rsidP="00916EA3">
      <w:pPr>
        <w:autoSpaceDE w:val="0"/>
        <w:jc w:val="both"/>
        <w:rPr>
          <w:rFonts w:ascii="Arial" w:hAnsi="Arial" w:cs="Arial"/>
          <w:bCs/>
          <w:sz w:val="20"/>
          <w:szCs w:val="20"/>
        </w:rPr>
      </w:pPr>
      <w:r>
        <w:rPr>
          <w:rFonts w:ascii="Arial" w:hAnsi="Arial" w:cs="Arial"/>
          <w:bCs/>
          <w:sz w:val="20"/>
          <w:szCs w:val="20"/>
        </w:rPr>
        <w:t>Néanmoins, le montant total de participation calculé à partir de la formule 10%*BC est moins élevé de 0,4 Md€ que le montant simulé à partir de la formule actuelle de réserve de participation. Ce résultat est dû au fait que le montant de participation simulé à partir de la formule actuelle est déjà 30 % supérieur au montant figurant dans les liasses. C’est notamment dû au cas atypique (mais non aberrant) des entreprises qui ont des salaires supérieurs à la valeur ajoutée. En effet, cela entraîne une hausse marquée du montant de participation dans les simulations.</w:t>
      </w:r>
    </w:p>
    <w:p w:rsidR="00916EA3" w:rsidRDefault="00916EA3" w:rsidP="00916EA3">
      <w:pPr>
        <w:autoSpaceDE w:val="0"/>
        <w:jc w:val="center"/>
        <w:rPr>
          <w:rFonts w:ascii="Arial" w:hAnsi="Arial" w:cs="Arial"/>
          <w:b/>
          <w:bCs/>
          <w:sz w:val="20"/>
          <w:szCs w:val="20"/>
        </w:rPr>
      </w:pPr>
    </w:p>
    <w:p w:rsidR="00916EA3" w:rsidRPr="00B7240C" w:rsidRDefault="00916EA3" w:rsidP="00916EA3">
      <w:pPr>
        <w:autoSpaceDE w:val="0"/>
        <w:jc w:val="center"/>
      </w:pPr>
      <w:r w:rsidRPr="00B7240C">
        <w:rPr>
          <w:rFonts w:ascii="Arial" w:hAnsi="Arial" w:cs="Arial"/>
          <w:b/>
          <w:bCs/>
          <w:sz w:val="20"/>
          <w:szCs w:val="20"/>
        </w:rPr>
        <w:t xml:space="preserve">Graphique </w:t>
      </w:r>
      <w:r>
        <w:rPr>
          <w:rFonts w:ascii="Arial" w:hAnsi="Arial" w:cs="Arial"/>
          <w:b/>
          <w:bCs/>
          <w:sz w:val="20"/>
          <w:szCs w:val="20"/>
        </w:rPr>
        <w:t>2</w:t>
      </w:r>
      <w:r w:rsidRPr="00B7240C">
        <w:rPr>
          <w:rFonts w:ascii="Arial" w:hAnsi="Arial" w:cs="Arial"/>
          <w:b/>
          <w:bCs/>
          <w:sz w:val="20"/>
          <w:szCs w:val="20"/>
        </w:rPr>
        <w:t xml:space="preserve"> : Montan</w:t>
      </w:r>
      <w:r>
        <w:rPr>
          <w:rFonts w:ascii="Arial" w:hAnsi="Arial" w:cs="Arial"/>
          <w:b/>
          <w:bCs/>
          <w:sz w:val="20"/>
          <w:szCs w:val="20"/>
        </w:rPr>
        <w:t>t total de participation</w:t>
      </w:r>
    </w:p>
    <w:p w:rsidR="00916EA3" w:rsidRPr="00B7240C" w:rsidRDefault="00916EA3" w:rsidP="00916EA3">
      <w:pPr>
        <w:autoSpaceDE w:val="0"/>
        <w:jc w:val="center"/>
        <w:rPr>
          <w:rFonts w:ascii="Arial" w:hAnsi="Arial" w:cs="Arial"/>
          <w:bCs/>
          <w:i/>
          <w:sz w:val="18"/>
          <w:szCs w:val="18"/>
        </w:rPr>
      </w:pPr>
      <w:r>
        <w:rPr>
          <w:noProof/>
          <w:lang w:eastAsia="fr-FR"/>
        </w:rPr>
        <w:drawing>
          <wp:inline distT="0" distB="0" distL="0" distR="0" wp14:anchorId="7016DD21" wp14:editId="382E33EC">
            <wp:extent cx="3923665" cy="1802765"/>
            <wp:effectExtent l="0" t="0" r="635" b="6985"/>
            <wp:docPr id="9" name="Graphiqu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16EA3" w:rsidRPr="009014A4" w:rsidRDefault="00916EA3" w:rsidP="009014A4">
      <w:pPr>
        <w:autoSpaceDE w:val="0"/>
        <w:autoSpaceDN w:val="0"/>
        <w:adjustRightInd w:val="0"/>
        <w:spacing w:after="0" w:line="240" w:lineRule="auto"/>
        <w:ind w:left="-142"/>
        <w:jc w:val="both"/>
        <w:rPr>
          <w:rFonts w:ascii="Arial" w:hAnsi="Arial" w:cs="Arial"/>
          <w:bCs/>
          <w:i/>
          <w:sz w:val="16"/>
          <w:szCs w:val="16"/>
        </w:rPr>
      </w:pPr>
      <w:r w:rsidRPr="009014A4">
        <w:rPr>
          <w:rFonts w:ascii="Arial" w:hAnsi="Arial" w:cs="Arial"/>
          <w:bCs/>
          <w:i/>
          <w:sz w:val="16"/>
          <w:szCs w:val="16"/>
        </w:rPr>
        <w:t>Champ : entreprises privées de 50 salariés ou plus, hors secteurs agricole et financier.</w:t>
      </w:r>
    </w:p>
    <w:p w:rsidR="00916EA3" w:rsidRDefault="00916EA3" w:rsidP="009014A4">
      <w:pPr>
        <w:autoSpaceDE w:val="0"/>
        <w:autoSpaceDN w:val="0"/>
        <w:adjustRightInd w:val="0"/>
        <w:spacing w:after="0" w:line="240" w:lineRule="auto"/>
        <w:ind w:left="-142"/>
        <w:jc w:val="both"/>
        <w:rPr>
          <w:rFonts w:ascii="Arial" w:hAnsi="Arial" w:cs="Arial"/>
          <w:bCs/>
          <w:i/>
          <w:sz w:val="18"/>
          <w:szCs w:val="18"/>
        </w:rPr>
      </w:pPr>
      <w:r w:rsidRPr="009014A4">
        <w:rPr>
          <w:rFonts w:ascii="Arial" w:hAnsi="Arial" w:cs="Arial"/>
          <w:bCs/>
          <w:i/>
          <w:sz w:val="16"/>
          <w:szCs w:val="16"/>
        </w:rPr>
        <w:t>Source : Insee - fichier Fare 2015, calculs Dares</w:t>
      </w:r>
      <w:r w:rsidRPr="00B7240C">
        <w:rPr>
          <w:rFonts w:ascii="Arial" w:hAnsi="Arial" w:cs="Arial"/>
          <w:bCs/>
          <w:i/>
          <w:sz w:val="18"/>
          <w:szCs w:val="18"/>
        </w:rPr>
        <w:t>.</w:t>
      </w:r>
    </w:p>
    <w:p w:rsidR="00042414" w:rsidRDefault="00042414" w:rsidP="009014A4">
      <w:pPr>
        <w:autoSpaceDE w:val="0"/>
        <w:autoSpaceDN w:val="0"/>
        <w:adjustRightInd w:val="0"/>
        <w:spacing w:after="0" w:line="240" w:lineRule="auto"/>
        <w:ind w:left="-142"/>
        <w:jc w:val="both"/>
        <w:rPr>
          <w:rFonts w:ascii="Arial" w:hAnsi="Arial" w:cs="Arial"/>
          <w:b/>
          <w:bCs/>
          <w:sz w:val="20"/>
          <w:szCs w:val="20"/>
        </w:rPr>
      </w:pPr>
    </w:p>
    <w:p w:rsidR="00916EA3" w:rsidRPr="00B7240C" w:rsidRDefault="00916EA3" w:rsidP="00916EA3">
      <w:pPr>
        <w:autoSpaceDE w:val="0"/>
        <w:jc w:val="both"/>
        <w:rPr>
          <w:rFonts w:ascii="Arial" w:hAnsi="Arial" w:cs="Arial"/>
          <w:bCs/>
          <w:sz w:val="20"/>
          <w:szCs w:val="20"/>
        </w:rPr>
      </w:pPr>
      <w:r w:rsidRPr="00B7240C">
        <w:rPr>
          <w:rFonts w:ascii="Arial" w:hAnsi="Arial" w:cs="Arial"/>
          <w:b/>
          <w:bCs/>
          <w:sz w:val="20"/>
          <w:szCs w:val="20"/>
          <w:u w:val="single"/>
        </w:rPr>
        <w:t>La hausse des montants de participation est concentrée sur un nombre restreint d’entreprises</w:t>
      </w:r>
    </w:p>
    <w:p w:rsidR="00916EA3" w:rsidRDefault="00916EA3" w:rsidP="00916EA3">
      <w:pPr>
        <w:autoSpaceDE w:val="0"/>
        <w:jc w:val="both"/>
        <w:rPr>
          <w:rFonts w:ascii="Arial" w:hAnsi="Arial" w:cs="Arial"/>
          <w:bCs/>
          <w:sz w:val="20"/>
          <w:szCs w:val="20"/>
        </w:rPr>
      </w:pPr>
      <w:r>
        <w:rPr>
          <w:rFonts w:ascii="Arial" w:hAnsi="Arial" w:cs="Arial"/>
          <w:bCs/>
          <w:sz w:val="20"/>
          <w:szCs w:val="20"/>
        </w:rPr>
        <w:t>Dans la nouvelle formule, l</w:t>
      </w:r>
      <w:r w:rsidRPr="00B7240C">
        <w:rPr>
          <w:rFonts w:ascii="Arial" w:hAnsi="Arial" w:cs="Arial"/>
          <w:bCs/>
          <w:sz w:val="20"/>
          <w:szCs w:val="20"/>
        </w:rPr>
        <w:t xml:space="preserve">e montant total de participation </w:t>
      </w:r>
      <w:r>
        <w:rPr>
          <w:rFonts w:ascii="Arial" w:hAnsi="Arial" w:cs="Arial"/>
          <w:bCs/>
          <w:sz w:val="20"/>
          <w:szCs w:val="20"/>
        </w:rPr>
        <w:t>représente en moyenne 2,5 %</w:t>
      </w:r>
      <w:r w:rsidRPr="00B7240C">
        <w:rPr>
          <w:rFonts w:ascii="Arial" w:hAnsi="Arial" w:cs="Arial"/>
          <w:bCs/>
          <w:sz w:val="20"/>
          <w:szCs w:val="20"/>
        </w:rPr>
        <w:t xml:space="preserve"> de </w:t>
      </w:r>
      <w:r>
        <w:rPr>
          <w:rFonts w:ascii="Arial" w:hAnsi="Arial" w:cs="Arial"/>
          <w:bCs/>
          <w:sz w:val="20"/>
          <w:szCs w:val="20"/>
        </w:rPr>
        <w:t xml:space="preserve">la </w:t>
      </w:r>
      <w:r w:rsidRPr="00B7240C">
        <w:rPr>
          <w:rFonts w:ascii="Arial" w:hAnsi="Arial" w:cs="Arial"/>
          <w:bCs/>
          <w:sz w:val="20"/>
          <w:szCs w:val="20"/>
        </w:rPr>
        <w:t>masse salariale</w:t>
      </w:r>
      <w:r>
        <w:rPr>
          <w:rStyle w:val="Appelnotedebasdep"/>
          <w:rFonts w:ascii="Arial" w:hAnsi="Arial" w:cs="Arial"/>
          <w:bCs/>
          <w:sz w:val="20"/>
          <w:szCs w:val="20"/>
        </w:rPr>
        <w:footnoteReference w:id="1"/>
      </w:r>
      <w:r>
        <w:rPr>
          <w:rFonts w:ascii="Arial" w:hAnsi="Arial" w:cs="Arial"/>
          <w:bCs/>
          <w:sz w:val="20"/>
          <w:szCs w:val="20"/>
        </w:rPr>
        <w:t>, soit + 0,5 point en moyenne par rapport au montant issu des liasses fiscales</w:t>
      </w:r>
      <w:r w:rsidRPr="00B7240C">
        <w:rPr>
          <w:rFonts w:ascii="Arial" w:hAnsi="Arial" w:cs="Arial"/>
          <w:bCs/>
          <w:sz w:val="20"/>
          <w:szCs w:val="20"/>
        </w:rPr>
        <w:t>. Cependant, pour la moitié des entreprises, l’écart de montant</w:t>
      </w:r>
      <w:r>
        <w:rPr>
          <w:rFonts w:ascii="Arial" w:hAnsi="Arial" w:cs="Arial"/>
          <w:bCs/>
          <w:sz w:val="20"/>
          <w:szCs w:val="20"/>
        </w:rPr>
        <w:t>s</w:t>
      </w:r>
      <w:r w:rsidRPr="00B7240C">
        <w:rPr>
          <w:rFonts w:ascii="Arial" w:hAnsi="Arial" w:cs="Arial"/>
          <w:bCs/>
          <w:sz w:val="20"/>
          <w:szCs w:val="20"/>
        </w:rPr>
        <w:t xml:space="preserve"> </w:t>
      </w:r>
      <w:r>
        <w:rPr>
          <w:rFonts w:ascii="Arial" w:hAnsi="Arial" w:cs="Arial"/>
          <w:bCs/>
          <w:sz w:val="20"/>
          <w:szCs w:val="20"/>
        </w:rPr>
        <w:t xml:space="preserve">est nul ou de signe négatif </w:t>
      </w:r>
      <w:r w:rsidRPr="00B7240C">
        <w:rPr>
          <w:rFonts w:ascii="Arial" w:hAnsi="Arial" w:cs="Arial"/>
          <w:bCs/>
          <w:sz w:val="20"/>
          <w:szCs w:val="20"/>
        </w:rPr>
        <w:t xml:space="preserve">(tableau 1). L’augmentation moyenne est tirée par les </w:t>
      </w:r>
      <w:r>
        <w:rPr>
          <w:rFonts w:ascii="Arial" w:hAnsi="Arial" w:cs="Arial"/>
          <w:bCs/>
          <w:sz w:val="20"/>
          <w:szCs w:val="20"/>
        </w:rPr>
        <w:t>25</w:t>
      </w:r>
      <w:r w:rsidRPr="00B7240C">
        <w:rPr>
          <w:rFonts w:ascii="Arial" w:hAnsi="Arial" w:cs="Arial"/>
          <w:bCs/>
          <w:sz w:val="20"/>
          <w:szCs w:val="20"/>
        </w:rPr>
        <w:t xml:space="preserve"> %</w:t>
      </w:r>
      <w:r>
        <w:rPr>
          <w:rFonts w:ascii="Arial" w:hAnsi="Arial" w:cs="Arial"/>
          <w:bCs/>
          <w:sz w:val="20"/>
          <w:szCs w:val="20"/>
        </w:rPr>
        <w:t xml:space="preserve"> et surtout par les 10 %</w:t>
      </w:r>
      <w:r w:rsidRPr="00B7240C">
        <w:rPr>
          <w:rFonts w:ascii="Arial" w:hAnsi="Arial" w:cs="Arial"/>
          <w:bCs/>
          <w:sz w:val="20"/>
          <w:szCs w:val="20"/>
        </w:rPr>
        <w:t xml:space="preserve"> d’entreprises pour lesquelles l’impact du changement de formule est le plus fort. La forte hausse des montants est donc concentrée sur un nombre restreint d’entreprises.</w:t>
      </w:r>
    </w:p>
    <w:p w:rsidR="00916EA3" w:rsidRPr="00B7240C" w:rsidRDefault="00916EA3" w:rsidP="00916EA3">
      <w:pPr>
        <w:autoSpaceDE w:val="0"/>
        <w:jc w:val="center"/>
        <w:rPr>
          <w:rFonts w:ascii="Calibri" w:hAnsi="Calibri" w:cs="Calibri"/>
          <w:color w:val="000000"/>
        </w:rPr>
      </w:pPr>
      <w:r w:rsidRPr="00B7240C">
        <w:rPr>
          <w:rFonts w:ascii="Arial" w:hAnsi="Arial" w:cs="Arial"/>
          <w:b/>
          <w:bCs/>
          <w:sz w:val="20"/>
          <w:szCs w:val="20"/>
        </w:rPr>
        <w:t>Tableau 1 : Distribution de l’écart entre le montant estimé et le montant actuel</w:t>
      </w:r>
      <w:r w:rsidR="00042414">
        <w:rPr>
          <w:rFonts w:ascii="Arial" w:hAnsi="Arial" w:cs="Arial"/>
          <w:b/>
          <w:bCs/>
          <w:sz w:val="20"/>
          <w:szCs w:val="20"/>
        </w:rPr>
        <w:t xml:space="preserve"> </w:t>
      </w:r>
      <w:r w:rsidRPr="00B7240C">
        <w:rPr>
          <w:rFonts w:ascii="Arial" w:hAnsi="Arial" w:cs="Arial"/>
          <w:b/>
          <w:bCs/>
          <w:sz w:val="20"/>
          <w:szCs w:val="20"/>
        </w:rPr>
        <w:t xml:space="preserve">selon </w:t>
      </w:r>
      <w:r>
        <w:rPr>
          <w:rFonts w:ascii="Arial" w:hAnsi="Arial" w:cs="Arial"/>
          <w:b/>
          <w:bCs/>
          <w:sz w:val="20"/>
          <w:szCs w:val="20"/>
        </w:rPr>
        <w:t>la formule 10%*BC</w:t>
      </w:r>
    </w:p>
    <w:tbl>
      <w:tblPr>
        <w:tblW w:w="0" w:type="auto"/>
        <w:jc w:val="center"/>
        <w:tblInd w:w="70" w:type="dxa"/>
        <w:tblLayout w:type="fixed"/>
        <w:tblCellMar>
          <w:left w:w="70" w:type="dxa"/>
          <w:right w:w="70" w:type="dxa"/>
        </w:tblCellMar>
        <w:tblLook w:val="0000" w:firstRow="0" w:lastRow="0" w:firstColumn="0" w:lastColumn="0" w:noHBand="0" w:noVBand="0"/>
      </w:tblPr>
      <w:tblGrid>
        <w:gridCol w:w="1599"/>
        <w:gridCol w:w="1073"/>
        <w:gridCol w:w="1134"/>
        <w:gridCol w:w="992"/>
        <w:gridCol w:w="992"/>
        <w:gridCol w:w="1003"/>
      </w:tblGrid>
      <w:tr w:rsidR="00916EA3" w:rsidRPr="005F4B44" w:rsidTr="00916EA3">
        <w:trPr>
          <w:cantSplit/>
          <w:trHeight w:val="300"/>
          <w:jc w:val="center"/>
        </w:trPr>
        <w:tc>
          <w:tcPr>
            <w:tcW w:w="1599" w:type="dxa"/>
            <w:vMerge w:val="restart"/>
            <w:tcBorders>
              <w:top w:val="single" w:sz="4" w:space="0" w:color="000000"/>
              <w:left w:val="single" w:sz="4" w:space="0" w:color="000000"/>
              <w:bottom w:val="single" w:sz="4" w:space="0" w:color="000000"/>
            </w:tcBorders>
            <w:shd w:val="clear" w:color="auto" w:fill="auto"/>
          </w:tcPr>
          <w:p w:rsidR="00916EA3" w:rsidRPr="005F4B44" w:rsidRDefault="00916EA3" w:rsidP="00916EA3">
            <w:pPr>
              <w:jc w:val="center"/>
              <w:rPr>
                <w:rFonts w:ascii="Arial" w:hAnsi="Arial" w:cs="Arial"/>
                <w:color w:val="000000"/>
                <w:sz w:val="20"/>
                <w:szCs w:val="20"/>
              </w:rPr>
            </w:pPr>
            <w:r w:rsidRPr="005F4B44">
              <w:rPr>
                <w:rFonts w:ascii="Arial" w:hAnsi="Arial" w:cs="Arial"/>
                <w:color w:val="000000"/>
                <w:sz w:val="20"/>
                <w:szCs w:val="20"/>
              </w:rPr>
              <w:t>Ecart de montant rapporté à la masse salariale (%)</w:t>
            </w:r>
          </w:p>
        </w:tc>
        <w:tc>
          <w:tcPr>
            <w:tcW w:w="51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16EA3" w:rsidRPr="005F4B44" w:rsidRDefault="00916EA3" w:rsidP="00916EA3">
            <w:pPr>
              <w:jc w:val="center"/>
              <w:rPr>
                <w:rFonts w:ascii="Arial" w:hAnsi="Arial" w:cs="Arial"/>
                <w:color w:val="000000"/>
                <w:sz w:val="20"/>
                <w:szCs w:val="20"/>
              </w:rPr>
            </w:pPr>
            <w:r w:rsidRPr="005F4B44">
              <w:rPr>
                <w:rFonts w:ascii="Arial" w:hAnsi="Arial" w:cs="Arial"/>
                <w:color w:val="000000"/>
                <w:sz w:val="20"/>
                <w:szCs w:val="20"/>
              </w:rPr>
              <w:t xml:space="preserve">Distribution de l'écart de montants </w:t>
            </w:r>
          </w:p>
          <w:p w:rsidR="00916EA3" w:rsidRPr="005F4B44" w:rsidRDefault="00916EA3" w:rsidP="00916EA3">
            <w:pPr>
              <w:jc w:val="center"/>
              <w:rPr>
                <w:rFonts w:ascii="Arial" w:hAnsi="Arial" w:cs="Arial"/>
                <w:sz w:val="20"/>
                <w:szCs w:val="20"/>
              </w:rPr>
            </w:pPr>
            <w:r w:rsidRPr="005F4B44">
              <w:rPr>
                <w:rFonts w:ascii="Arial" w:hAnsi="Arial" w:cs="Arial"/>
                <w:color w:val="000000"/>
                <w:sz w:val="20"/>
                <w:szCs w:val="20"/>
              </w:rPr>
              <w:t>(en points de masse salariale)</w:t>
            </w:r>
          </w:p>
        </w:tc>
      </w:tr>
      <w:tr w:rsidR="00916EA3" w:rsidRPr="005F4B44" w:rsidTr="00916EA3">
        <w:trPr>
          <w:cantSplit/>
          <w:trHeight w:val="300"/>
          <w:jc w:val="center"/>
        </w:trPr>
        <w:tc>
          <w:tcPr>
            <w:tcW w:w="1599" w:type="dxa"/>
            <w:vMerge/>
            <w:tcBorders>
              <w:left w:val="single" w:sz="4" w:space="0" w:color="000000"/>
              <w:bottom w:val="single" w:sz="4" w:space="0" w:color="000000"/>
            </w:tcBorders>
            <w:shd w:val="clear" w:color="auto" w:fill="auto"/>
          </w:tcPr>
          <w:p w:rsidR="00916EA3" w:rsidRPr="005F4B44" w:rsidRDefault="00916EA3" w:rsidP="00916EA3">
            <w:pPr>
              <w:snapToGrid w:val="0"/>
              <w:jc w:val="center"/>
              <w:rPr>
                <w:rFonts w:ascii="Arial" w:hAnsi="Arial" w:cs="Arial"/>
                <w:color w:val="000000"/>
                <w:sz w:val="20"/>
                <w:szCs w:val="20"/>
              </w:rPr>
            </w:pPr>
          </w:p>
        </w:tc>
        <w:tc>
          <w:tcPr>
            <w:tcW w:w="1073" w:type="dxa"/>
            <w:tcBorders>
              <w:top w:val="none" w:sz="0" w:space="0" w:color="000000"/>
              <w:left w:val="single" w:sz="4" w:space="0" w:color="000000"/>
              <w:bottom w:val="single" w:sz="4" w:space="0" w:color="000000"/>
            </w:tcBorders>
            <w:shd w:val="clear" w:color="auto" w:fill="auto"/>
            <w:vAlign w:val="center"/>
          </w:tcPr>
          <w:p w:rsidR="00916EA3" w:rsidRPr="005F4B44" w:rsidRDefault="00916EA3" w:rsidP="00916EA3">
            <w:pPr>
              <w:jc w:val="center"/>
              <w:rPr>
                <w:rFonts w:ascii="Arial" w:hAnsi="Arial" w:cs="Arial"/>
                <w:color w:val="000000"/>
                <w:sz w:val="20"/>
                <w:szCs w:val="20"/>
              </w:rPr>
            </w:pPr>
            <w:r w:rsidRPr="005F4B44">
              <w:rPr>
                <w:rFonts w:ascii="Arial" w:hAnsi="Arial" w:cs="Arial"/>
                <w:color w:val="000000"/>
                <w:sz w:val="20"/>
                <w:szCs w:val="20"/>
              </w:rPr>
              <w:t>P10</w:t>
            </w:r>
          </w:p>
        </w:tc>
        <w:tc>
          <w:tcPr>
            <w:tcW w:w="1134" w:type="dxa"/>
            <w:tcBorders>
              <w:top w:val="none" w:sz="0" w:space="0" w:color="000000"/>
              <w:left w:val="single" w:sz="4" w:space="0" w:color="000000"/>
              <w:bottom w:val="single" w:sz="4" w:space="0" w:color="000000"/>
            </w:tcBorders>
            <w:shd w:val="clear" w:color="auto" w:fill="auto"/>
            <w:vAlign w:val="center"/>
          </w:tcPr>
          <w:p w:rsidR="00916EA3" w:rsidRPr="005F4B44" w:rsidRDefault="00916EA3" w:rsidP="00916EA3">
            <w:pPr>
              <w:jc w:val="center"/>
              <w:rPr>
                <w:rFonts w:ascii="Arial" w:hAnsi="Arial" w:cs="Arial"/>
                <w:color w:val="000000"/>
                <w:sz w:val="20"/>
                <w:szCs w:val="20"/>
              </w:rPr>
            </w:pPr>
            <w:r w:rsidRPr="005F4B44">
              <w:rPr>
                <w:rFonts w:ascii="Arial" w:hAnsi="Arial" w:cs="Arial"/>
                <w:color w:val="000000"/>
                <w:sz w:val="20"/>
                <w:szCs w:val="20"/>
              </w:rPr>
              <w:t>P25</w:t>
            </w:r>
          </w:p>
        </w:tc>
        <w:tc>
          <w:tcPr>
            <w:tcW w:w="992" w:type="dxa"/>
            <w:tcBorders>
              <w:top w:val="none" w:sz="0" w:space="0" w:color="000000"/>
              <w:left w:val="single" w:sz="4" w:space="0" w:color="000000"/>
              <w:bottom w:val="single" w:sz="4" w:space="0" w:color="000000"/>
            </w:tcBorders>
            <w:shd w:val="clear" w:color="auto" w:fill="auto"/>
            <w:vAlign w:val="center"/>
          </w:tcPr>
          <w:p w:rsidR="00916EA3" w:rsidRPr="005F4B44" w:rsidRDefault="00916EA3" w:rsidP="00916EA3">
            <w:pPr>
              <w:jc w:val="center"/>
              <w:rPr>
                <w:rFonts w:ascii="Arial" w:hAnsi="Arial" w:cs="Arial"/>
                <w:color w:val="000000"/>
                <w:sz w:val="20"/>
                <w:szCs w:val="20"/>
              </w:rPr>
            </w:pPr>
            <w:r w:rsidRPr="005F4B44">
              <w:rPr>
                <w:rFonts w:ascii="Arial" w:hAnsi="Arial" w:cs="Arial"/>
                <w:color w:val="000000"/>
                <w:sz w:val="20"/>
                <w:szCs w:val="20"/>
              </w:rPr>
              <w:t>P50</w:t>
            </w:r>
          </w:p>
        </w:tc>
        <w:tc>
          <w:tcPr>
            <w:tcW w:w="992" w:type="dxa"/>
            <w:tcBorders>
              <w:top w:val="none" w:sz="0" w:space="0" w:color="000000"/>
              <w:left w:val="single" w:sz="4" w:space="0" w:color="000000"/>
              <w:bottom w:val="single" w:sz="4" w:space="0" w:color="000000"/>
            </w:tcBorders>
            <w:shd w:val="clear" w:color="auto" w:fill="auto"/>
            <w:vAlign w:val="center"/>
          </w:tcPr>
          <w:p w:rsidR="00916EA3" w:rsidRPr="005F4B44" w:rsidRDefault="00916EA3" w:rsidP="00916EA3">
            <w:pPr>
              <w:jc w:val="center"/>
              <w:rPr>
                <w:rFonts w:ascii="Arial" w:hAnsi="Arial" w:cs="Arial"/>
                <w:color w:val="000000"/>
                <w:sz w:val="20"/>
                <w:szCs w:val="20"/>
              </w:rPr>
            </w:pPr>
            <w:r w:rsidRPr="005F4B44">
              <w:rPr>
                <w:rFonts w:ascii="Arial" w:hAnsi="Arial" w:cs="Arial"/>
                <w:color w:val="000000"/>
                <w:sz w:val="20"/>
                <w:szCs w:val="20"/>
              </w:rPr>
              <w:t>P75</w:t>
            </w:r>
          </w:p>
        </w:tc>
        <w:tc>
          <w:tcPr>
            <w:tcW w:w="1003" w:type="dxa"/>
            <w:tcBorders>
              <w:top w:val="none" w:sz="0" w:space="0" w:color="000000"/>
              <w:left w:val="single" w:sz="4" w:space="0" w:color="000000"/>
              <w:bottom w:val="single" w:sz="4" w:space="0" w:color="000000"/>
              <w:right w:val="single" w:sz="4" w:space="0" w:color="000000"/>
            </w:tcBorders>
            <w:shd w:val="clear" w:color="auto" w:fill="auto"/>
            <w:vAlign w:val="center"/>
          </w:tcPr>
          <w:p w:rsidR="00916EA3" w:rsidRPr="005F4B44" w:rsidRDefault="00916EA3" w:rsidP="00916EA3">
            <w:pPr>
              <w:jc w:val="center"/>
              <w:rPr>
                <w:rFonts w:ascii="Arial" w:hAnsi="Arial" w:cs="Arial"/>
                <w:sz w:val="20"/>
                <w:szCs w:val="20"/>
              </w:rPr>
            </w:pPr>
            <w:r w:rsidRPr="005F4B44">
              <w:rPr>
                <w:rFonts w:ascii="Arial" w:hAnsi="Arial" w:cs="Arial"/>
                <w:color w:val="000000"/>
                <w:sz w:val="20"/>
                <w:szCs w:val="20"/>
              </w:rPr>
              <w:t>P90</w:t>
            </w:r>
          </w:p>
        </w:tc>
      </w:tr>
      <w:tr w:rsidR="00916EA3" w:rsidRPr="005F4B44" w:rsidTr="00916EA3">
        <w:trPr>
          <w:trHeight w:val="300"/>
          <w:jc w:val="center"/>
        </w:trPr>
        <w:tc>
          <w:tcPr>
            <w:tcW w:w="1599" w:type="dxa"/>
            <w:tcBorders>
              <w:top w:val="single" w:sz="4" w:space="0" w:color="000000"/>
              <w:left w:val="single" w:sz="4" w:space="0" w:color="000000"/>
              <w:bottom w:val="single" w:sz="4" w:space="0" w:color="000000"/>
            </w:tcBorders>
            <w:shd w:val="clear" w:color="auto" w:fill="auto"/>
            <w:vAlign w:val="center"/>
          </w:tcPr>
          <w:p w:rsidR="00916EA3" w:rsidRPr="005F4B44" w:rsidRDefault="00916EA3" w:rsidP="00916EA3">
            <w:pPr>
              <w:jc w:val="center"/>
              <w:rPr>
                <w:rFonts w:ascii="Arial" w:hAnsi="Arial" w:cs="Arial"/>
                <w:color w:val="000000"/>
                <w:sz w:val="20"/>
                <w:szCs w:val="20"/>
              </w:rPr>
            </w:pPr>
            <w:r w:rsidRPr="005F4B44">
              <w:rPr>
                <w:rFonts w:ascii="Arial" w:hAnsi="Arial" w:cs="Arial"/>
                <w:color w:val="000000"/>
                <w:sz w:val="20"/>
                <w:szCs w:val="20"/>
              </w:rPr>
              <w:t>0,5</w:t>
            </w:r>
          </w:p>
        </w:tc>
        <w:tc>
          <w:tcPr>
            <w:tcW w:w="1073" w:type="dxa"/>
            <w:tcBorders>
              <w:top w:val="single" w:sz="4" w:space="0" w:color="000000"/>
              <w:left w:val="single" w:sz="4" w:space="0" w:color="000000"/>
              <w:bottom w:val="single" w:sz="4" w:space="0" w:color="000000"/>
            </w:tcBorders>
            <w:shd w:val="clear" w:color="auto" w:fill="auto"/>
            <w:vAlign w:val="center"/>
          </w:tcPr>
          <w:p w:rsidR="00916EA3" w:rsidRPr="005F4B44" w:rsidRDefault="00916EA3" w:rsidP="00916EA3">
            <w:pPr>
              <w:jc w:val="center"/>
              <w:rPr>
                <w:rFonts w:ascii="Arial" w:hAnsi="Arial" w:cs="Arial"/>
                <w:color w:val="000000"/>
                <w:sz w:val="20"/>
                <w:szCs w:val="20"/>
              </w:rPr>
            </w:pPr>
            <w:r w:rsidRPr="005F4B44">
              <w:rPr>
                <w:rFonts w:ascii="Arial" w:hAnsi="Arial" w:cs="Arial"/>
                <w:color w:val="000000"/>
                <w:sz w:val="20"/>
                <w:szCs w:val="20"/>
              </w:rPr>
              <w:t>-2,2</w:t>
            </w:r>
          </w:p>
        </w:tc>
        <w:tc>
          <w:tcPr>
            <w:tcW w:w="1134" w:type="dxa"/>
            <w:tcBorders>
              <w:top w:val="single" w:sz="4" w:space="0" w:color="000000"/>
              <w:left w:val="none" w:sz="0" w:space="0" w:color="000000"/>
              <w:bottom w:val="single" w:sz="4" w:space="0" w:color="000000"/>
            </w:tcBorders>
            <w:shd w:val="clear" w:color="auto" w:fill="auto"/>
            <w:vAlign w:val="center"/>
          </w:tcPr>
          <w:p w:rsidR="00916EA3" w:rsidRPr="005F4B44" w:rsidRDefault="00916EA3" w:rsidP="00916EA3">
            <w:pPr>
              <w:jc w:val="center"/>
              <w:rPr>
                <w:rFonts w:ascii="Arial" w:hAnsi="Arial" w:cs="Arial"/>
                <w:color w:val="000000"/>
                <w:sz w:val="20"/>
                <w:szCs w:val="20"/>
              </w:rPr>
            </w:pPr>
            <w:r w:rsidRPr="005F4B44">
              <w:rPr>
                <w:rFonts w:ascii="Arial" w:hAnsi="Arial" w:cs="Arial"/>
                <w:color w:val="000000"/>
                <w:sz w:val="20"/>
                <w:szCs w:val="20"/>
              </w:rPr>
              <w:t>-0,1</w:t>
            </w:r>
          </w:p>
        </w:tc>
        <w:tc>
          <w:tcPr>
            <w:tcW w:w="992" w:type="dxa"/>
            <w:tcBorders>
              <w:top w:val="single" w:sz="4" w:space="0" w:color="000000"/>
              <w:left w:val="none" w:sz="0" w:space="0" w:color="000000"/>
              <w:bottom w:val="single" w:sz="4" w:space="0" w:color="000000"/>
            </w:tcBorders>
            <w:shd w:val="clear" w:color="auto" w:fill="auto"/>
            <w:vAlign w:val="center"/>
          </w:tcPr>
          <w:p w:rsidR="00916EA3" w:rsidRPr="005F4B44" w:rsidRDefault="00916EA3" w:rsidP="00916EA3">
            <w:pPr>
              <w:jc w:val="center"/>
              <w:rPr>
                <w:rFonts w:ascii="Arial" w:hAnsi="Arial" w:cs="Arial"/>
                <w:color w:val="000000"/>
                <w:sz w:val="20"/>
                <w:szCs w:val="20"/>
              </w:rPr>
            </w:pPr>
            <w:r w:rsidRPr="005F4B44">
              <w:rPr>
                <w:rFonts w:ascii="Arial" w:hAnsi="Arial" w:cs="Arial"/>
                <w:color w:val="000000"/>
                <w:sz w:val="20"/>
                <w:szCs w:val="20"/>
              </w:rPr>
              <w:t>0,0</w:t>
            </w:r>
          </w:p>
        </w:tc>
        <w:tc>
          <w:tcPr>
            <w:tcW w:w="992" w:type="dxa"/>
            <w:tcBorders>
              <w:top w:val="single" w:sz="4" w:space="0" w:color="000000"/>
              <w:left w:val="none" w:sz="0" w:space="0" w:color="000000"/>
              <w:bottom w:val="single" w:sz="4" w:space="0" w:color="000000"/>
            </w:tcBorders>
            <w:shd w:val="clear" w:color="auto" w:fill="auto"/>
            <w:vAlign w:val="center"/>
          </w:tcPr>
          <w:p w:rsidR="00916EA3" w:rsidRPr="005F4B44" w:rsidRDefault="00916EA3" w:rsidP="00916EA3">
            <w:pPr>
              <w:jc w:val="center"/>
              <w:rPr>
                <w:rFonts w:ascii="Arial" w:hAnsi="Arial" w:cs="Arial"/>
                <w:color w:val="000000"/>
                <w:sz w:val="20"/>
                <w:szCs w:val="20"/>
              </w:rPr>
            </w:pPr>
            <w:r w:rsidRPr="005F4B44">
              <w:rPr>
                <w:rFonts w:ascii="Arial" w:hAnsi="Arial" w:cs="Arial"/>
                <w:color w:val="000000"/>
                <w:sz w:val="20"/>
                <w:szCs w:val="20"/>
              </w:rPr>
              <w:t>0,9</w:t>
            </w:r>
          </w:p>
        </w:tc>
        <w:tc>
          <w:tcPr>
            <w:tcW w:w="1003" w:type="dxa"/>
            <w:tcBorders>
              <w:top w:val="single" w:sz="4" w:space="0" w:color="000000"/>
              <w:left w:val="none" w:sz="0" w:space="0" w:color="000000"/>
              <w:bottom w:val="single" w:sz="4" w:space="0" w:color="000000"/>
              <w:right w:val="single" w:sz="4" w:space="0" w:color="000000"/>
            </w:tcBorders>
            <w:shd w:val="clear" w:color="auto" w:fill="auto"/>
            <w:vAlign w:val="center"/>
          </w:tcPr>
          <w:p w:rsidR="00916EA3" w:rsidRPr="005F4B44" w:rsidRDefault="00916EA3" w:rsidP="00916EA3">
            <w:pPr>
              <w:jc w:val="center"/>
              <w:rPr>
                <w:rFonts w:ascii="Arial" w:hAnsi="Arial" w:cs="Arial"/>
                <w:sz w:val="20"/>
                <w:szCs w:val="20"/>
              </w:rPr>
            </w:pPr>
            <w:r w:rsidRPr="005F4B44">
              <w:rPr>
                <w:rFonts w:ascii="Arial" w:hAnsi="Arial" w:cs="Arial"/>
                <w:sz w:val="20"/>
                <w:szCs w:val="20"/>
              </w:rPr>
              <w:t>2,5</w:t>
            </w:r>
          </w:p>
        </w:tc>
      </w:tr>
    </w:tbl>
    <w:p w:rsidR="00916EA3" w:rsidRPr="009014A4" w:rsidRDefault="00916EA3" w:rsidP="009014A4">
      <w:pPr>
        <w:autoSpaceDE w:val="0"/>
        <w:autoSpaceDN w:val="0"/>
        <w:adjustRightInd w:val="0"/>
        <w:spacing w:after="0" w:line="240" w:lineRule="auto"/>
        <w:ind w:left="1134"/>
        <w:rPr>
          <w:rFonts w:ascii="Arial" w:hAnsi="Arial" w:cs="Arial"/>
          <w:bCs/>
          <w:i/>
          <w:sz w:val="16"/>
          <w:szCs w:val="16"/>
        </w:rPr>
      </w:pPr>
      <w:r w:rsidRPr="009014A4">
        <w:rPr>
          <w:rFonts w:ascii="Arial" w:hAnsi="Arial" w:cs="Arial"/>
          <w:bCs/>
          <w:i/>
          <w:sz w:val="16"/>
          <w:szCs w:val="16"/>
        </w:rPr>
        <w:t>Champ : entreprises privées de 50 salariés ou plus, hors secteurs agricole et financier.</w:t>
      </w:r>
    </w:p>
    <w:p w:rsidR="00916EA3" w:rsidRPr="00B7240C" w:rsidRDefault="00916EA3" w:rsidP="009014A4">
      <w:pPr>
        <w:autoSpaceDE w:val="0"/>
        <w:autoSpaceDN w:val="0"/>
        <w:adjustRightInd w:val="0"/>
        <w:spacing w:after="0" w:line="240" w:lineRule="auto"/>
        <w:ind w:left="1134"/>
        <w:rPr>
          <w:rFonts w:ascii="Arial" w:hAnsi="Arial" w:cs="Arial"/>
          <w:bCs/>
          <w:i/>
          <w:sz w:val="18"/>
          <w:szCs w:val="18"/>
          <w:u w:val="single"/>
        </w:rPr>
      </w:pPr>
      <w:r w:rsidRPr="009014A4">
        <w:rPr>
          <w:rFonts w:ascii="Arial" w:hAnsi="Arial" w:cs="Arial"/>
          <w:bCs/>
          <w:i/>
          <w:sz w:val="16"/>
          <w:szCs w:val="16"/>
        </w:rPr>
        <w:t>Source : Insee - fichier Fare 2015, calculs Dares.</w:t>
      </w:r>
    </w:p>
    <w:p w:rsidR="00916EA3" w:rsidRPr="00B7240C" w:rsidRDefault="00916EA3" w:rsidP="009014A4">
      <w:pPr>
        <w:autoSpaceDE w:val="0"/>
        <w:ind w:left="1134"/>
        <w:rPr>
          <w:rFonts w:ascii="Arial" w:hAnsi="Arial" w:cs="Arial"/>
          <w:bCs/>
          <w:sz w:val="20"/>
          <w:szCs w:val="20"/>
        </w:rPr>
      </w:pPr>
      <w:r w:rsidRPr="009014A4">
        <w:rPr>
          <w:rFonts w:ascii="Arial" w:hAnsi="Arial" w:cs="Arial"/>
          <w:bCs/>
          <w:i/>
          <w:sz w:val="16"/>
          <w:szCs w:val="16"/>
        </w:rPr>
        <w:t>Lecture : le montant total de participation augmenterait de 0,5 point de masse salariale. Les 10 % d’entreprises les plus favorisées par la nouvelle formule verraient leur montant de participation baisser de 2,2 point</w:t>
      </w:r>
      <w:r w:rsidR="00042414" w:rsidRPr="00042414">
        <w:rPr>
          <w:rFonts w:ascii="Arial" w:hAnsi="Arial" w:cs="Arial"/>
          <w:bCs/>
          <w:i/>
          <w:sz w:val="16"/>
          <w:szCs w:val="16"/>
        </w:rPr>
        <w:t>s ou plus.</w:t>
      </w:r>
      <w:r w:rsidR="00042414">
        <w:rPr>
          <w:rFonts w:ascii="Arial" w:hAnsi="Arial" w:cs="Arial"/>
          <w:bCs/>
          <w:i/>
          <w:sz w:val="16"/>
          <w:szCs w:val="16"/>
        </w:rPr>
        <w:t xml:space="preserve"> </w:t>
      </w:r>
      <w:r w:rsidRPr="009014A4">
        <w:rPr>
          <w:rFonts w:ascii="Arial" w:hAnsi="Arial" w:cs="Arial"/>
          <w:bCs/>
          <w:i/>
          <w:sz w:val="16"/>
          <w:szCs w:val="16"/>
        </w:rPr>
        <w:lastRenderedPageBreak/>
        <w:t>À l'opposé, les 10 % d’entreprises les plus défavorisées par la nouvelle formule verraient leur participation augmenter d'un montant supérieur à 2,5 points de masse salariale</w:t>
      </w:r>
      <w:r w:rsidRPr="00B7240C">
        <w:rPr>
          <w:rFonts w:ascii="Arial" w:hAnsi="Arial" w:cs="Arial"/>
          <w:bCs/>
          <w:i/>
          <w:sz w:val="18"/>
          <w:szCs w:val="18"/>
        </w:rPr>
        <w:t>.</w:t>
      </w:r>
    </w:p>
    <w:p w:rsidR="00042414" w:rsidRDefault="00042414" w:rsidP="00916EA3">
      <w:pPr>
        <w:autoSpaceDE w:val="0"/>
        <w:jc w:val="both"/>
        <w:rPr>
          <w:rFonts w:ascii="Arial" w:hAnsi="Arial" w:cs="Arial"/>
          <w:b/>
          <w:bCs/>
          <w:sz w:val="20"/>
          <w:szCs w:val="20"/>
          <w:u w:val="single"/>
        </w:rPr>
      </w:pPr>
    </w:p>
    <w:p w:rsidR="00916EA3" w:rsidRPr="00B7240C" w:rsidRDefault="00916EA3" w:rsidP="00916EA3">
      <w:pPr>
        <w:autoSpaceDE w:val="0"/>
        <w:jc w:val="both"/>
        <w:rPr>
          <w:rFonts w:ascii="Arial" w:hAnsi="Arial" w:cs="Arial"/>
          <w:b/>
          <w:bCs/>
          <w:sz w:val="20"/>
          <w:szCs w:val="20"/>
          <w:u w:val="single"/>
        </w:rPr>
      </w:pPr>
      <w:r w:rsidRPr="00B7240C">
        <w:rPr>
          <w:rFonts w:ascii="Arial" w:hAnsi="Arial" w:cs="Arial"/>
          <w:b/>
          <w:bCs/>
          <w:sz w:val="20"/>
          <w:szCs w:val="20"/>
          <w:u w:val="single"/>
        </w:rPr>
        <w:t xml:space="preserve">Les montants de participation </w:t>
      </w:r>
      <w:r>
        <w:rPr>
          <w:rFonts w:ascii="Arial" w:hAnsi="Arial" w:cs="Arial"/>
          <w:b/>
          <w:bCs/>
          <w:sz w:val="20"/>
          <w:szCs w:val="20"/>
          <w:u w:val="single"/>
        </w:rPr>
        <w:t>sont plus élevés dans les entreprises de 50 à 99 salariés</w:t>
      </w:r>
    </w:p>
    <w:p w:rsidR="00916EA3" w:rsidRDefault="00916EA3" w:rsidP="00916EA3">
      <w:pPr>
        <w:autoSpaceDE w:val="0"/>
        <w:jc w:val="both"/>
        <w:rPr>
          <w:rFonts w:ascii="Arial" w:hAnsi="Arial" w:cs="Arial"/>
          <w:bCs/>
          <w:sz w:val="20"/>
          <w:szCs w:val="20"/>
        </w:rPr>
      </w:pPr>
      <w:r w:rsidRPr="00B7240C">
        <w:rPr>
          <w:rFonts w:ascii="Arial" w:hAnsi="Arial" w:cs="Arial"/>
          <w:bCs/>
          <w:sz w:val="20"/>
          <w:szCs w:val="20"/>
        </w:rPr>
        <w:t>Avec l</w:t>
      </w:r>
      <w:r>
        <w:rPr>
          <w:rFonts w:ascii="Arial" w:hAnsi="Arial" w:cs="Arial"/>
          <w:bCs/>
          <w:sz w:val="20"/>
          <w:szCs w:val="20"/>
        </w:rPr>
        <w:t>a</w:t>
      </w:r>
      <w:r w:rsidRPr="00B7240C">
        <w:rPr>
          <w:rFonts w:ascii="Arial" w:hAnsi="Arial" w:cs="Arial"/>
          <w:bCs/>
          <w:sz w:val="20"/>
          <w:szCs w:val="20"/>
        </w:rPr>
        <w:t xml:space="preserve"> nouvelle formule,</w:t>
      </w:r>
      <w:r>
        <w:rPr>
          <w:rFonts w:ascii="Arial" w:hAnsi="Arial" w:cs="Arial"/>
          <w:bCs/>
          <w:sz w:val="20"/>
          <w:szCs w:val="20"/>
        </w:rPr>
        <w:t xml:space="preserve"> </w:t>
      </w:r>
      <w:r w:rsidRPr="00B7240C">
        <w:rPr>
          <w:rFonts w:ascii="Arial" w:hAnsi="Arial" w:cs="Arial"/>
          <w:bCs/>
          <w:sz w:val="20"/>
          <w:szCs w:val="20"/>
        </w:rPr>
        <w:t xml:space="preserve">les montants totaux de participation </w:t>
      </w:r>
      <w:r>
        <w:rPr>
          <w:rFonts w:ascii="Arial" w:hAnsi="Arial" w:cs="Arial"/>
          <w:bCs/>
          <w:sz w:val="20"/>
          <w:szCs w:val="20"/>
        </w:rPr>
        <w:t>sont</w:t>
      </w:r>
      <w:r w:rsidRPr="00B7240C">
        <w:rPr>
          <w:rFonts w:ascii="Arial" w:hAnsi="Arial" w:cs="Arial"/>
          <w:bCs/>
          <w:sz w:val="20"/>
          <w:szCs w:val="20"/>
        </w:rPr>
        <w:t xml:space="preserve"> </w:t>
      </w:r>
      <w:r>
        <w:rPr>
          <w:rFonts w:ascii="Arial" w:hAnsi="Arial" w:cs="Arial"/>
          <w:bCs/>
          <w:sz w:val="20"/>
          <w:szCs w:val="20"/>
        </w:rPr>
        <w:t>plus élevés</w:t>
      </w:r>
      <w:r w:rsidRPr="00B7240C">
        <w:rPr>
          <w:rFonts w:ascii="Arial" w:hAnsi="Arial" w:cs="Arial"/>
          <w:bCs/>
          <w:sz w:val="20"/>
          <w:szCs w:val="20"/>
        </w:rPr>
        <w:t xml:space="preserve"> dans les entreprises de 50 à 99 salariés. Les montants </w:t>
      </w:r>
      <w:r>
        <w:rPr>
          <w:rFonts w:ascii="Arial" w:hAnsi="Arial" w:cs="Arial"/>
          <w:bCs/>
          <w:sz w:val="20"/>
          <w:szCs w:val="20"/>
        </w:rPr>
        <w:t xml:space="preserve">y </w:t>
      </w:r>
      <w:r w:rsidRPr="00B7240C">
        <w:rPr>
          <w:rFonts w:ascii="Arial" w:hAnsi="Arial" w:cs="Arial"/>
          <w:bCs/>
          <w:sz w:val="20"/>
          <w:szCs w:val="20"/>
        </w:rPr>
        <w:t>sont 1,</w:t>
      </w:r>
      <w:r>
        <w:rPr>
          <w:rFonts w:ascii="Arial" w:hAnsi="Arial" w:cs="Arial"/>
          <w:bCs/>
          <w:sz w:val="20"/>
          <w:szCs w:val="20"/>
        </w:rPr>
        <w:t>5</w:t>
      </w:r>
      <w:r w:rsidRPr="00B7240C">
        <w:rPr>
          <w:rFonts w:ascii="Arial" w:hAnsi="Arial" w:cs="Arial"/>
          <w:bCs/>
          <w:sz w:val="20"/>
          <w:szCs w:val="20"/>
        </w:rPr>
        <w:t xml:space="preserve"> fois supérieurs aux montants actuellement déclarés (tableau 2).</w:t>
      </w:r>
    </w:p>
    <w:p w:rsidR="00916EA3" w:rsidRDefault="00916EA3" w:rsidP="00916EA3">
      <w:pPr>
        <w:autoSpaceDE w:val="0"/>
        <w:jc w:val="both"/>
        <w:rPr>
          <w:rFonts w:ascii="Arial" w:hAnsi="Arial" w:cs="Arial"/>
          <w:bCs/>
          <w:sz w:val="20"/>
          <w:szCs w:val="20"/>
        </w:rPr>
      </w:pPr>
      <w:r>
        <w:rPr>
          <w:rFonts w:ascii="Arial" w:hAnsi="Arial" w:cs="Arial"/>
          <w:bCs/>
          <w:sz w:val="20"/>
          <w:szCs w:val="20"/>
        </w:rPr>
        <w:t>Les montants augmentent aussi davantage que la moyenne dans les entreprises de 250 à 499 salariés, ils y sont multipliés par 1,4.</w:t>
      </w:r>
    </w:p>
    <w:p w:rsidR="00916EA3" w:rsidRPr="00B7240C" w:rsidRDefault="00916EA3" w:rsidP="00916EA3">
      <w:pPr>
        <w:autoSpaceDE w:val="0"/>
        <w:jc w:val="center"/>
        <w:rPr>
          <w:rFonts w:ascii="Arial" w:hAnsi="Arial" w:cs="Arial"/>
          <w:color w:val="000000"/>
          <w:sz w:val="20"/>
          <w:szCs w:val="20"/>
        </w:rPr>
      </w:pPr>
      <w:r w:rsidRPr="00B7240C">
        <w:rPr>
          <w:rFonts w:ascii="Arial" w:hAnsi="Arial" w:cs="Arial"/>
          <w:b/>
          <w:bCs/>
          <w:sz w:val="20"/>
          <w:szCs w:val="20"/>
        </w:rPr>
        <w:t>Tableau 2</w:t>
      </w:r>
      <w:r w:rsidRPr="00B7240C">
        <w:rPr>
          <w:rFonts w:ascii="Arial" w:hAnsi="Arial" w:cs="Arial"/>
          <w:sz w:val="20"/>
          <w:szCs w:val="20"/>
        </w:rPr>
        <w:t xml:space="preserve"> </w:t>
      </w:r>
      <w:r w:rsidRPr="00B7240C">
        <w:rPr>
          <w:rFonts w:ascii="Arial" w:hAnsi="Arial" w:cs="Arial"/>
          <w:b/>
          <w:sz w:val="20"/>
          <w:szCs w:val="20"/>
        </w:rPr>
        <w:t>: Ratio « Participation estimée / Participation actuelle » par taille d’entreprise</w:t>
      </w:r>
    </w:p>
    <w:tbl>
      <w:tblPr>
        <w:tblW w:w="0" w:type="auto"/>
        <w:jc w:val="center"/>
        <w:tblInd w:w="70" w:type="dxa"/>
        <w:tblLayout w:type="fixed"/>
        <w:tblCellMar>
          <w:left w:w="70" w:type="dxa"/>
          <w:right w:w="70" w:type="dxa"/>
        </w:tblCellMar>
        <w:tblLook w:val="0000" w:firstRow="0" w:lastRow="0" w:firstColumn="0" w:lastColumn="0" w:noHBand="0" w:noVBand="0"/>
      </w:tblPr>
      <w:tblGrid>
        <w:gridCol w:w="3449"/>
        <w:gridCol w:w="896"/>
      </w:tblGrid>
      <w:tr w:rsidR="00916EA3" w:rsidRPr="00B7240C" w:rsidTr="00916EA3">
        <w:trPr>
          <w:cantSplit/>
          <w:trHeight w:val="300"/>
          <w:jc w:val="center"/>
        </w:trPr>
        <w:tc>
          <w:tcPr>
            <w:tcW w:w="3449" w:type="dxa"/>
            <w:tcBorders>
              <w:top w:val="single" w:sz="4" w:space="0" w:color="000000"/>
              <w:left w:val="single" w:sz="4" w:space="0" w:color="000000"/>
              <w:bottom w:val="single" w:sz="4" w:space="0" w:color="000000"/>
            </w:tcBorders>
            <w:shd w:val="clear" w:color="auto" w:fill="auto"/>
            <w:vAlign w:val="center"/>
          </w:tcPr>
          <w:p w:rsidR="00916EA3" w:rsidRPr="00B7240C" w:rsidRDefault="00916EA3" w:rsidP="00916EA3">
            <w:pPr>
              <w:snapToGrid w:val="0"/>
              <w:jc w:val="center"/>
              <w:rPr>
                <w:rFonts w:ascii="Arial" w:hAnsi="Arial" w:cs="Arial"/>
                <w:color w:val="000000"/>
                <w:sz w:val="20"/>
                <w:szCs w:val="20"/>
              </w:rPr>
            </w:pPr>
            <w:r w:rsidRPr="00B7240C">
              <w:rPr>
                <w:rFonts w:ascii="Arial" w:hAnsi="Arial" w:cs="Arial"/>
                <w:color w:val="000000"/>
                <w:sz w:val="20"/>
                <w:szCs w:val="20"/>
              </w:rPr>
              <w:t>Taille de l'entreprise</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EA3" w:rsidRPr="00B7240C" w:rsidRDefault="00916EA3" w:rsidP="00042414">
            <w:pPr>
              <w:jc w:val="center"/>
              <w:rPr>
                <w:rFonts w:ascii="Arial" w:hAnsi="Arial" w:cs="Arial"/>
                <w:color w:val="000000"/>
                <w:sz w:val="20"/>
                <w:szCs w:val="20"/>
              </w:rPr>
            </w:pPr>
            <w:r w:rsidRPr="00B7240C">
              <w:rPr>
                <w:rFonts w:ascii="Arial" w:hAnsi="Arial" w:cs="Arial"/>
                <w:color w:val="000000"/>
                <w:sz w:val="20"/>
                <w:szCs w:val="20"/>
              </w:rPr>
              <w:t>10%*BC</w:t>
            </w:r>
          </w:p>
        </w:tc>
      </w:tr>
      <w:tr w:rsidR="00916EA3" w:rsidRPr="00B7240C" w:rsidTr="00916EA3">
        <w:trPr>
          <w:trHeight w:val="300"/>
          <w:jc w:val="center"/>
        </w:trPr>
        <w:tc>
          <w:tcPr>
            <w:tcW w:w="3449" w:type="dxa"/>
            <w:tcBorders>
              <w:top w:val="none" w:sz="0" w:space="0" w:color="000000"/>
              <w:left w:val="single" w:sz="4" w:space="0" w:color="000000"/>
              <w:bottom w:val="none" w:sz="0" w:space="0" w:color="000000"/>
            </w:tcBorders>
            <w:shd w:val="clear" w:color="auto" w:fill="auto"/>
            <w:vAlign w:val="center"/>
          </w:tcPr>
          <w:p w:rsidR="00916EA3" w:rsidRPr="00B7240C" w:rsidRDefault="00916EA3" w:rsidP="00916EA3">
            <w:pPr>
              <w:rPr>
                <w:rFonts w:ascii="Arial" w:hAnsi="Arial" w:cs="Arial"/>
                <w:bCs/>
                <w:i/>
                <w:color w:val="000000"/>
                <w:sz w:val="20"/>
                <w:szCs w:val="20"/>
              </w:rPr>
            </w:pPr>
            <w:r w:rsidRPr="00B7240C">
              <w:rPr>
                <w:rFonts w:ascii="Arial" w:hAnsi="Arial" w:cs="Arial"/>
                <w:color w:val="000000"/>
                <w:sz w:val="20"/>
                <w:szCs w:val="20"/>
              </w:rPr>
              <w:t>50 à 99 salariés</w:t>
            </w:r>
          </w:p>
        </w:tc>
        <w:tc>
          <w:tcPr>
            <w:tcW w:w="896" w:type="dxa"/>
            <w:tcBorders>
              <w:top w:val="none" w:sz="0" w:space="0" w:color="000000"/>
              <w:left w:val="single" w:sz="4" w:space="0" w:color="000000"/>
              <w:bottom w:val="none" w:sz="0" w:space="0" w:color="000000"/>
              <w:right w:val="single" w:sz="4" w:space="0" w:color="000000"/>
            </w:tcBorders>
            <w:shd w:val="clear" w:color="auto" w:fill="auto"/>
            <w:vAlign w:val="center"/>
          </w:tcPr>
          <w:p w:rsidR="00916EA3" w:rsidRPr="00B96313" w:rsidRDefault="00916EA3" w:rsidP="009014A4">
            <w:pPr>
              <w:jc w:val="center"/>
              <w:rPr>
                <w:rFonts w:ascii="Arial" w:hAnsi="Arial" w:cs="Arial"/>
                <w:color w:val="000000"/>
                <w:sz w:val="20"/>
                <w:szCs w:val="20"/>
              </w:rPr>
            </w:pPr>
            <w:r w:rsidRPr="00B96313">
              <w:rPr>
                <w:rFonts w:ascii="Arial" w:hAnsi="Arial" w:cs="Arial"/>
                <w:color w:val="000000"/>
                <w:sz w:val="20"/>
                <w:szCs w:val="20"/>
              </w:rPr>
              <w:t>1,5</w:t>
            </w:r>
          </w:p>
        </w:tc>
      </w:tr>
      <w:tr w:rsidR="00916EA3" w:rsidRPr="00B7240C" w:rsidTr="00916EA3">
        <w:trPr>
          <w:trHeight w:val="300"/>
          <w:jc w:val="center"/>
        </w:trPr>
        <w:tc>
          <w:tcPr>
            <w:tcW w:w="3449" w:type="dxa"/>
            <w:tcBorders>
              <w:top w:val="none" w:sz="0" w:space="0" w:color="000000"/>
              <w:left w:val="single" w:sz="4" w:space="0" w:color="000000"/>
              <w:bottom w:val="none" w:sz="0" w:space="0" w:color="000000"/>
            </w:tcBorders>
            <w:shd w:val="clear" w:color="auto" w:fill="auto"/>
            <w:vAlign w:val="center"/>
          </w:tcPr>
          <w:p w:rsidR="00916EA3" w:rsidRPr="00B7240C" w:rsidRDefault="00916EA3" w:rsidP="00916EA3">
            <w:pPr>
              <w:rPr>
                <w:rFonts w:ascii="Arial" w:hAnsi="Arial" w:cs="Arial"/>
                <w:color w:val="000000"/>
                <w:sz w:val="20"/>
                <w:szCs w:val="20"/>
              </w:rPr>
            </w:pPr>
            <w:r w:rsidRPr="00B7240C">
              <w:rPr>
                <w:rFonts w:ascii="Arial" w:hAnsi="Arial" w:cs="Arial"/>
                <w:color w:val="000000"/>
                <w:sz w:val="20"/>
                <w:szCs w:val="20"/>
              </w:rPr>
              <w:t>100 à 249 salariés</w:t>
            </w:r>
          </w:p>
        </w:tc>
        <w:tc>
          <w:tcPr>
            <w:tcW w:w="896" w:type="dxa"/>
            <w:tcBorders>
              <w:top w:val="none" w:sz="0" w:space="0" w:color="000000"/>
              <w:left w:val="single" w:sz="4" w:space="0" w:color="000000"/>
              <w:bottom w:val="none" w:sz="0" w:space="0" w:color="000000"/>
              <w:right w:val="single" w:sz="4" w:space="0" w:color="000000"/>
            </w:tcBorders>
            <w:shd w:val="clear" w:color="auto" w:fill="auto"/>
            <w:vAlign w:val="center"/>
          </w:tcPr>
          <w:p w:rsidR="00916EA3" w:rsidRPr="00B96313" w:rsidRDefault="00916EA3" w:rsidP="009014A4">
            <w:pPr>
              <w:jc w:val="center"/>
              <w:rPr>
                <w:rFonts w:ascii="Arial" w:hAnsi="Arial" w:cs="Arial"/>
                <w:color w:val="000000"/>
                <w:sz w:val="20"/>
                <w:szCs w:val="20"/>
              </w:rPr>
            </w:pPr>
            <w:r w:rsidRPr="00B96313">
              <w:rPr>
                <w:rFonts w:ascii="Arial" w:hAnsi="Arial" w:cs="Arial"/>
                <w:color w:val="000000"/>
                <w:sz w:val="20"/>
                <w:szCs w:val="20"/>
              </w:rPr>
              <w:t>1,1</w:t>
            </w:r>
          </w:p>
        </w:tc>
      </w:tr>
      <w:tr w:rsidR="00916EA3" w:rsidRPr="00B7240C" w:rsidTr="00916EA3">
        <w:trPr>
          <w:trHeight w:val="300"/>
          <w:jc w:val="center"/>
        </w:trPr>
        <w:tc>
          <w:tcPr>
            <w:tcW w:w="3449" w:type="dxa"/>
            <w:tcBorders>
              <w:top w:val="none" w:sz="0" w:space="0" w:color="000000"/>
              <w:left w:val="single" w:sz="4" w:space="0" w:color="000000"/>
              <w:bottom w:val="none" w:sz="0" w:space="0" w:color="000000"/>
            </w:tcBorders>
            <w:shd w:val="clear" w:color="auto" w:fill="auto"/>
            <w:vAlign w:val="center"/>
          </w:tcPr>
          <w:p w:rsidR="00916EA3" w:rsidRPr="00B7240C" w:rsidRDefault="00916EA3" w:rsidP="00916EA3">
            <w:pPr>
              <w:rPr>
                <w:rFonts w:ascii="Arial" w:hAnsi="Arial" w:cs="Arial"/>
                <w:color w:val="000000"/>
                <w:sz w:val="20"/>
                <w:szCs w:val="20"/>
              </w:rPr>
            </w:pPr>
            <w:r w:rsidRPr="00B7240C">
              <w:rPr>
                <w:rFonts w:ascii="Arial" w:hAnsi="Arial" w:cs="Arial"/>
                <w:color w:val="000000"/>
                <w:sz w:val="20"/>
                <w:szCs w:val="20"/>
              </w:rPr>
              <w:t>250 à 499 salariés</w:t>
            </w:r>
          </w:p>
        </w:tc>
        <w:tc>
          <w:tcPr>
            <w:tcW w:w="896" w:type="dxa"/>
            <w:tcBorders>
              <w:top w:val="none" w:sz="0" w:space="0" w:color="000000"/>
              <w:left w:val="single" w:sz="4" w:space="0" w:color="000000"/>
              <w:bottom w:val="none" w:sz="0" w:space="0" w:color="000000"/>
              <w:right w:val="single" w:sz="4" w:space="0" w:color="000000"/>
            </w:tcBorders>
            <w:shd w:val="clear" w:color="auto" w:fill="auto"/>
            <w:vAlign w:val="center"/>
          </w:tcPr>
          <w:p w:rsidR="00916EA3" w:rsidRPr="00781658" w:rsidRDefault="00916EA3" w:rsidP="009014A4">
            <w:pPr>
              <w:jc w:val="center"/>
              <w:rPr>
                <w:rFonts w:ascii="Arial" w:hAnsi="Arial" w:cs="Arial"/>
                <w:bCs/>
                <w:color w:val="000000"/>
                <w:sz w:val="20"/>
                <w:szCs w:val="20"/>
              </w:rPr>
            </w:pPr>
            <w:r w:rsidRPr="00781658">
              <w:rPr>
                <w:rFonts w:ascii="Arial" w:hAnsi="Arial" w:cs="Arial"/>
                <w:bCs/>
                <w:color w:val="000000"/>
                <w:sz w:val="20"/>
                <w:szCs w:val="20"/>
              </w:rPr>
              <w:t>1,4</w:t>
            </w:r>
          </w:p>
        </w:tc>
      </w:tr>
      <w:tr w:rsidR="00916EA3" w:rsidRPr="00B7240C" w:rsidTr="00916EA3">
        <w:trPr>
          <w:trHeight w:val="300"/>
          <w:jc w:val="center"/>
        </w:trPr>
        <w:tc>
          <w:tcPr>
            <w:tcW w:w="3449" w:type="dxa"/>
            <w:tcBorders>
              <w:top w:val="none" w:sz="0" w:space="0" w:color="000000"/>
              <w:left w:val="single" w:sz="4" w:space="0" w:color="000000"/>
              <w:bottom w:val="none" w:sz="0" w:space="0" w:color="000000"/>
            </w:tcBorders>
            <w:shd w:val="clear" w:color="auto" w:fill="auto"/>
            <w:vAlign w:val="center"/>
          </w:tcPr>
          <w:p w:rsidR="00916EA3" w:rsidRPr="00B7240C" w:rsidRDefault="00916EA3" w:rsidP="00916EA3">
            <w:pPr>
              <w:rPr>
                <w:rFonts w:ascii="Arial" w:hAnsi="Arial" w:cs="Arial"/>
                <w:color w:val="000000"/>
                <w:sz w:val="20"/>
                <w:szCs w:val="20"/>
              </w:rPr>
            </w:pPr>
            <w:r w:rsidRPr="00B7240C">
              <w:rPr>
                <w:rFonts w:ascii="Arial" w:hAnsi="Arial" w:cs="Arial"/>
                <w:color w:val="000000"/>
                <w:sz w:val="20"/>
                <w:szCs w:val="20"/>
              </w:rPr>
              <w:t>500 à 999 salariés</w:t>
            </w:r>
          </w:p>
        </w:tc>
        <w:tc>
          <w:tcPr>
            <w:tcW w:w="896" w:type="dxa"/>
            <w:tcBorders>
              <w:top w:val="none" w:sz="0" w:space="0" w:color="000000"/>
              <w:left w:val="single" w:sz="4" w:space="0" w:color="000000"/>
              <w:bottom w:val="none" w:sz="0" w:space="0" w:color="000000"/>
              <w:right w:val="single" w:sz="4" w:space="0" w:color="000000"/>
            </w:tcBorders>
            <w:shd w:val="clear" w:color="auto" w:fill="auto"/>
            <w:vAlign w:val="center"/>
          </w:tcPr>
          <w:p w:rsidR="00916EA3" w:rsidRPr="00B96313" w:rsidRDefault="00916EA3" w:rsidP="009014A4">
            <w:pPr>
              <w:jc w:val="center"/>
              <w:rPr>
                <w:rFonts w:ascii="Arial" w:hAnsi="Arial" w:cs="Arial"/>
                <w:color w:val="000000"/>
                <w:sz w:val="20"/>
                <w:szCs w:val="20"/>
              </w:rPr>
            </w:pPr>
            <w:r w:rsidRPr="00B96313">
              <w:rPr>
                <w:rFonts w:ascii="Arial" w:hAnsi="Arial" w:cs="Arial"/>
                <w:color w:val="000000"/>
                <w:sz w:val="20"/>
                <w:szCs w:val="20"/>
              </w:rPr>
              <w:t>1,1</w:t>
            </w:r>
          </w:p>
        </w:tc>
      </w:tr>
      <w:tr w:rsidR="00916EA3" w:rsidRPr="00B7240C" w:rsidTr="00916EA3">
        <w:trPr>
          <w:trHeight w:val="300"/>
          <w:jc w:val="center"/>
        </w:trPr>
        <w:tc>
          <w:tcPr>
            <w:tcW w:w="3449" w:type="dxa"/>
            <w:tcBorders>
              <w:top w:val="none" w:sz="0" w:space="0" w:color="000000"/>
              <w:left w:val="single" w:sz="4" w:space="0" w:color="000000"/>
              <w:bottom w:val="single" w:sz="4" w:space="0" w:color="000000"/>
            </w:tcBorders>
            <w:shd w:val="clear" w:color="auto" w:fill="auto"/>
            <w:vAlign w:val="center"/>
          </w:tcPr>
          <w:p w:rsidR="00916EA3" w:rsidRPr="00B7240C" w:rsidRDefault="00916EA3" w:rsidP="00916EA3">
            <w:pPr>
              <w:rPr>
                <w:rFonts w:ascii="Arial" w:hAnsi="Arial" w:cs="Arial"/>
                <w:color w:val="000000"/>
                <w:sz w:val="20"/>
                <w:szCs w:val="20"/>
              </w:rPr>
            </w:pPr>
            <w:r w:rsidRPr="00B7240C">
              <w:rPr>
                <w:rFonts w:ascii="Arial" w:hAnsi="Arial" w:cs="Arial"/>
                <w:color w:val="000000"/>
                <w:sz w:val="20"/>
                <w:szCs w:val="20"/>
              </w:rPr>
              <w:t>1 000 salariés ou plus</w:t>
            </w:r>
          </w:p>
        </w:tc>
        <w:tc>
          <w:tcPr>
            <w:tcW w:w="896" w:type="dxa"/>
            <w:tcBorders>
              <w:top w:val="none" w:sz="0" w:space="0" w:color="000000"/>
              <w:left w:val="single" w:sz="4" w:space="0" w:color="000000"/>
              <w:bottom w:val="single" w:sz="4" w:space="0" w:color="000000"/>
              <w:right w:val="single" w:sz="4" w:space="0" w:color="000000"/>
            </w:tcBorders>
            <w:shd w:val="clear" w:color="auto" w:fill="auto"/>
            <w:vAlign w:val="center"/>
          </w:tcPr>
          <w:p w:rsidR="00916EA3" w:rsidRPr="00B96313" w:rsidRDefault="00916EA3" w:rsidP="009014A4">
            <w:pPr>
              <w:jc w:val="center"/>
              <w:rPr>
                <w:rFonts w:ascii="Arial" w:hAnsi="Arial" w:cs="Arial"/>
                <w:color w:val="000000"/>
                <w:sz w:val="20"/>
                <w:szCs w:val="20"/>
              </w:rPr>
            </w:pPr>
            <w:r w:rsidRPr="00B96313">
              <w:rPr>
                <w:rFonts w:ascii="Arial" w:hAnsi="Arial" w:cs="Arial"/>
                <w:color w:val="000000"/>
                <w:sz w:val="20"/>
                <w:szCs w:val="20"/>
              </w:rPr>
              <w:t>1,2</w:t>
            </w:r>
          </w:p>
        </w:tc>
      </w:tr>
      <w:tr w:rsidR="00916EA3" w:rsidRPr="00B7240C" w:rsidTr="00916EA3">
        <w:trPr>
          <w:trHeight w:val="300"/>
          <w:jc w:val="center"/>
        </w:trPr>
        <w:tc>
          <w:tcPr>
            <w:tcW w:w="3449" w:type="dxa"/>
            <w:tcBorders>
              <w:top w:val="none" w:sz="0" w:space="0" w:color="000000"/>
              <w:left w:val="single" w:sz="4" w:space="0" w:color="000000"/>
              <w:bottom w:val="single" w:sz="4" w:space="0" w:color="000000"/>
            </w:tcBorders>
            <w:shd w:val="clear" w:color="auto" w:fill="auto"/>
            <w:vAlign w:val="center"/>
          </w:tcPr>
          <w:p w:rsidR="00916EA3" w:rsidRPr="00B7240C" w:rsidRDefault="00916EA3" w:rsidP="00916EA3">
            <w:pPr>
              <w:rPr>
                <w:rFonts w:ascii="Arial" w:hAnsi="Arial" w:cs="Arial"/>
                <w:b/>
                <w:bCs/>
                <w:color w:val="000000"/>
                <w:sz w:val="20"/>
                <w:szCs w:val="20"/>
              </w:rPr>
            </w:pPr>
            <w:r w:rsidRPr="00B7240C">
              <w:rPr>
                <w:rFonts w:ascii="Arial" w:hAnsi="Arial" w:cs="Arial"/>
                <w:b/>
                <w:bCs/>
                <w:color w:val="000000"/>
                <w:sz w:val="20"/>
                <w:szCs w:val="20"/>
              </w:rPr>
              <w:t>Entreprises de 50 salariés ou plus</w:t>
            </w:r>
          </w:p>
        </w:tc>
        <w:tc>
          <w:tcPr>
            <w:tcW w:w="896" w:type="dxa"/>
            <w:tcBorders>
              <w:top w:val="none" w:sz="0" w:space="0" w:color="000000"/>
              <w:left w:val="single" w:sz="4" w:space="0" w:color="000000"/>
              <w:bottom w:val="single" w:sz="4" w:space="0" w:color="000000"/>
              <w:right w:val="single" w:sz="4" w:space="0" w:color="000000"/>
            </w:tcBorders>
            <w:shd w:val="clear" w:color="auto" w:fill="auto"/>
            <w:vAlign w:val="center"/>
          </w:tcPr>
          <w:p w:rsidR="00916EA3" w:rsidRPr="00B96313" w:rsidRDefault="00916EA3" w:rsidP="009014A4">
            <w:pPr>
              <w:jc w:val="center"/>
              <w:rPr>
                <w:rFonts w:ascii="Arial" w:hAnsi="Arial" w:cs="Arial"/>
                <w:b/>
                <w:bCs/>
                <w:color w:val="000000"/>
                <w:sz w:val="20"/>
                <w:szCs w:val="20"/>
              </w:rPr>
            </w:pPr>
            <w:r w:rsidRPr="00B96313">
              <w:rPr>
                <w:rFonts w:ascii="Arial" w:hAnsi="Arial" w:cs="Arial"/>
                <w:b/>
                <w:bCs/>
                <w:color w:val="000000"/>
                <w:sz w:val="20"/>
                <w:szCs w:val="20"/>
              </w:rPr>
              <w:t>1,2</w:t>
            </w:r>
          </w:p>
        </w:tc>
      </w:tr>
    </w:tbl>
    <w:p w:rsidR="00042414" w:rsidRDefault="00916EA3" w:rsidP="00537895">
      <w:pPr>
        <w:autoSpaceDE w:val="0"/>
        <w:spacing w:after="0"/>
        <w:ind w:left="2410"/>
        <w:rPr>
          <w:rFonts w:ascii="Arial" w:hAnsi="Arial" w:cs="Arial"/>
          <w:bCs/>
          <w:i/>
          <w:sz w:val="18"/>
          <w:szCs w:val="18"/>
        </w:rPr>
      </w:pPr>
      <w:r w:rsidRPr="00362372">
        <w:rPr>
          <w:rFonts w:ascii="Arial" w:hAnsi="Arial" w:cs="Arial"/>
          <w:bCs/>
          <w:i/>
          <w:sz w:val="18"/>
          <w:szCs w:val="18"/>
          <w:u w:val="single"/>
        </w:rPr>
        <w:t>Champ :</w:t>
      </w:r>
      <w:r w:rsidRPr="00B7240C">
        <w:rPr>
          <w:rFonts w:ascii="Arial" w:hAnsi="Arial" w:cs="Arial"/>
          <w:bCs/>
          <w:i/>
          <w:sz w:val="18"/>
          <w:szCs w:val="18"/>
        </w:rPr>
        <w:t xml:space="preserve"> entreprises privées de 50 salariés ou plus, hors secteurs agricole et financier</w:t>
      </w:r>
    </w:p>
    <w:p w:rsidR="00916EA3" w:rsidRPr="009014A4" w:rsidRDefault="00916EA3" w:rsidP="00537895">
      <w:pPr>
        <w:autoSpaceDE w:val="0"/>
        <w:spacing w:after="0"/>
        <w:ind w:left="2410"/>
        <w:rPr>
          <w:rFonts w:ascii="Arial" w:hAnsi="Arial" w:cs="Arial"/>
          <w:bCs/>
          <w:i/>
          <w:sz w:val="18"/>
          <w:szCs w:val="18"/>
        </w:rPr>
      </w:pPr>
      <w:r w:rsidRPr="00362372">
        <w:rPr>
          <w:rFonts w:ascii="Arial" w:hAnsi="Arial" w:cs="Arial"/>
          <w:bCs/>
          <w:i/>
          <w:sz w:val="18"/>
          <w:szCs w:val="18"/>
          <w:u w:val="single"/>
        </w:rPr>
        <w:t>Source :</w:t>
      </w:r>
      <w:r w:rsidRPr="00B7240C">
        <w:rPr>
          <w:rFonts w:ascii="Arial" w:hAnsi="Arial" w:cs="Arial"/>
          <w:bCs/>
          <w:i/>
          <w:sz w:val="18"/>
          <w:szCs w:val="18"/>
        </w:rPr>
        <w:t xml:space="preserve"> Insee - fichier Fare 2015, calculs Dares</w:t>
      </w:r>
    </w:p>
    <w:p w:rsidR="00042414" w:rsidRDefault="00042414" w:rsidP="00916EA3">
      <w:pPr>
        <w:autoSpaceDE w:val="0"/>
        <w:jc w:val="both"/>
        <w:rPr>
          <w:rFonts w:ascii="Arial" w:hAnsi="Arial" w:cs="Arial"/>
          <w:bCs/>
          <w:sz w:val="20"/>
          <w:szCs w:val="20"/>
        </w:rPr>
      </w:pPr>
    </w:p>
    <w:p w:rsidR="00916EA3" w:rsidRDefault="00916EA3" w:rsidP="00916EA3">
      <w:pPr>
        <w:autoSpaceDE w:val="0"/>
        <w:jc w:val="both"/>
        <w:rPr>
          <w:rFonts w:ascii="Arial" w:hAnsi="Arial" w:cs="Arial"/>
          <w:bCs/>
          <w:sz w:val="20"/>
          <w:szCs w:val="20"/>
        </w:rPr>
      </w:pPr>
      <w:r w:rsidRPr="00B7240C">
        <w:rPr>
          <w:rFonts w:ascii="Arial" w:hAnsi="Arial" w:cs="Arial"/>
          <w:bCs/>
          <w:sz w:val="20"/>
          <w:szCs w:val="20"/>
        </w:rPr>
        <w:t>Dans l</w:t>
      </w:r>
      <w:r>
        <w:rPr>
          <w:rFonts w:ascii="Arial" w:hAnsi="Arial" w:cs="Arial"/>
          <w:bCs/>
          <w:sz w:val="20"/>
          <w:szCs w:val="20"/>
        </w:rPr>
        <w:t>a</w:t>
      </w:r>
      <w:r w:rsidRPr="00B7240C">
        <w:rPr>
          <w:rFonts w:ascii="Arial" w:hAnsi="Arial" w:cs="Arial"/>
          <w:bCs/>
          <w:sz w:val="20"/>
          <w:szCs w:val="20"/>
        </w:rPr>
        <w:t xml:space="preserve"> simul</w:t>
      </w:r>
      <w:r>
        <w:rPr>
          <w:rFonts w:ascii="Arial" w:hAnsi="Arial" w:cs="Arial"/>
          <w:bCs/>
          <w:sz w:val="20"/>
          <w:szCs w:val="20"/>
        </w:rPr>
        <w:t>ation 10%*BC</w:t>
      </w:r>
      <w:r w:rsidRPr="00B7240C">
        <w:rPr>
          <w:rFonts w:ascii="Arial" w:hAnsi="Arial" w:cs="Arial"/>
          <w:bCs/>
          <w:sz w:val="20"/>
          <w:szCs w:val="20"/>
        </w:rPr>
        <w:t>, la proportion d’entreprises versant de la participation augmente plus fortement parmi les entreprises de 50 à 99 salariés (graphique 3). En effet, c’est dans cette tranche de taille que la part d’entreprises versant de la participation est la plus faible d’après les liasses</w:t>
      </w:r>
      <w:r>
        <w:rPr>
          <w:rFonts w:ascii="Arial" w:hAnsi="Arial" w:cs="Arial"/>
          <w:bCs/>
          <w:sz w:val="20"/>
          <w:szCs w:val="20"/>
        </w:rPr>
        <w:t xml:space="preserve"> fiscales</w:t>
      </w:r>
      <w:r w:rsidRPr="00B7240C">
        <w:rPr>
          <w:rFonts w:ascii="Arial" w:hAnsi="Arial" w:cs="Arial"/>
          <w:bCs/>
          <w:sz w:val="20"/>
          <w:szCs w:val="20"/>
        </w:rPr>
        <w:t xml:space="preserve">. </w:t>
      </w:r>
      <w:r>
        <w:rPr>
          <w:rFonts w:ascii="Arial" w:hAnsi="Arial" w:cs="Arial"/>
          <w:bCs/>
          <w:sz w:val="20"/>
          <w:szCs w:val="20"/>
        </w:rPr>
        <w:t xml:space="preserve">Néanmoins, c’est en partie dû aux exemptions pour les entreprises qui viennent tout juste de passer le seuil de 50 salariés. En effet, lorsque l’on se réfère au montant de participation simulée selon la formule actuelle, </w:t>
      </w:r>
      <w:r w:rsidRPr="00B7240C">
        <w:rPr>
          <w:rFonts w:ascii="Arial" w:hAnsi="Arial" w:cs="Arial"/>
          <w:bCs/>
          <w:sz w:val="20"/>
          <w:szCs w:val="20"/>
        </w:rPr>
        <w:t>la proportion d’entreprises versant de la participation</w:t>
      </w:r>
      <w:r>
        <w:rPr>
          <w:rFonts w:ascii="Arial" w:hAnsi="Arial" w:cs="Arial"/>
          <w:bCs/>
          <w:sz w:val="20"/>
          <w:szCs w:val="20"/>
        </w:rPr>
        <w:t xml:space="preserve"> augmente uniformément quelle que soit la taille de l’entreprise (graphique 4).</w:t>
      </w:r>
    </w:p>
    <w:p w:rsidR="00F85D64" w:rsidRDefault="00F85D64" w:rsidP="00916EA3">
      <w:pPr>
        <w:autoSpaceDE w:val="0"/>
        <w:jc w:val="center"/>
        <w:rPr>
          <w:rFonts w:ascii="Arial" w:hAnsi="Arial" w:cs="Arial"/>
          <w:b/>
          <w:bCs/>
          <w:sz w:val="20"/>
          <w:szCs w:val="20"/>
        </w:rPr>
      </w:pPr>
    </w:p>
    <w:p w:rsidR="00F85D64" w:rsidRDefault="00F85D64" w:rsidP="00916EA3">
      <w:pPr>
        <w:autoSpaceDE w:val="0"/>
        <w:jc w:val="center"/>
        <w:rPr>
          <w:rFonts w:ascii="Arial" w:hAnsi="Arial" w:cs="Arial"/>
          <w:b/>
          <w:bCs/>
          <w:sz w:val="20"/>
          <w:szCs w:val="20"/>
        </w:rPr>
      </w:pPr>
    </w:p>
    <w:p w:rsidR="00F85D64" w:rsidRDefault="00F85D64" w:rsidP="00916EA3">
      <w:pPr>
        <w:autoSpaceDE w:val="0"/>
        <w:jc w:val="center"/>
        <w:rPr>
          <w:rFonts w:ascii="Arial" w:hAnsi="Arial" w:cs="Arial"/>
          <w:b/>
          <w:bCs/>
          <w:sz w:val="20"/>
          <w:szCs w:val="20"/>
        </w:rPr>
      </w:pPr>
    </w:p>
    <w:p w:rsidR="00F85D64" w:rsidRDefault="00F85D64" w:rsidP="00916EA3">
      <w:pPr>
        <w:autoSpaceDE w:val="0"/>
        <w:jc w:val="center"/>
        <w:rPr>
          <w:rFonts w:ascii="Arial" w:hAnsi="Arial" w:cs="Arial"/>
          <w:b/>
          <w:bCs/>
          <w:sz w:val="20"/>
          <w:szCs w:val="20"/>
        </w:rPr>
      </w:pPr>
    </w:p>
    <w:p w:rsidR="00537895" w:rsidRDefault="00537895" w:rsidP="00916EA3">
      <w:pPr>
        <w:autoSpaceDE w:val="0"/>
        <w:jc w:val="center"/>
        <w:rPr>
          <w:rFonts w:ascii="Arial" w:hAnsi="Arial" w:cs="Arial"/>
          <w:b/>
          <w:bCs/>
          <w:sz w:val="20"/>
          <w:szCs w:val="20"/>
        </w:rPr>
      </w:pPr>
    </w:p>
    <w:p w:rsidR="00F85D64" w:rsidRDefault="00F85D64" w:rsidP="00916EA3">
      <w:pPr>
        <w:autoSpaceDE w:val="0"/>
        <w:jc w:val="center"/>
        <w:rPr>
          <w:rFonts w:ascii="Arial" w:hAnsi="Arial" w:cs="Arial"/>
          <w:b/>
          <w:bCs/>
          <w:sz w:val="20"/>
          <w:szCs w:val="20"/>
        </w:rPr>
      </w:pPr>
    </w:p>
    <w:p w:rsidR="00F85D64" w:rsidRDefault="00F85D64" w:rsidP="00916EA3">
      <w:pPr>
        <w:autoSpaceDE w:val="0"/>
        <w:jc w:val="center"/>
        <w:rPr>
          <w:rFonts w:ascii="Arial" w:hAnsi="Arial" w:cs="Arial"/>
          <w:b/>
          <w:bCs/>
          <w:sz w:val="20"/>
          <w:szCs w:val="20"/>
        </w:rPr>
      </w:pPr>
    </w:p>
    <w:p w:rsidR="00F85D64" w:rsidRDefault="00F85D64" w:rsidP="00916EA3">
      <w:pPr>
        <w:autoSpaceDE w:val="0"/>
        <w:jc w:val="center"/>
        <w:rPr>
          <w:rFonts w:ascii="Arial" w:hAnsi="Arial" w:cs="Arial"/>
          <w:b/>
          <w:bCs/>
          <w:sz w:val="20"/>
          <w:szCs w:val="20"/>
        </w:rPr>
      </w:pPr>
    </w:p>
    <w:p w:rsidR="00916EA3" w:rsidRPr="00B7240C" w:rsidRDefault="00916EA3" w:rsidP="00916EA3">
      <w:pPr>
        <w:autoSpaceDE w:val="0"/>
        <w:jc w:val="center"/>
        <w:rPr>
          <w:rFonts w:ascii="Arial" w:hAnsi="Arial" w:cs="Arial"/>
          <w:b/>
          <w:bCs/>
          <w:sz w:val="20"/>
          <w:szCs w:val="20"/>
        </w:rPr>
      </w:pPr>
      <w:r w:rsidRPr="00B7240C">
        <w:rPr>
          <w:rFonts w:ascii="Arial" w:hAnsi="Arial" w:cs="Arial"/>
          <w:b/>
          <w:bCs/>
          <w:sz w:val="20"/>
          <w:szCs w:val="20"/>
        </w:rPr>
        <w:lastRenderedPageBreak/>
        <w:t xml:space="preserve">Graphique 3 : Proportion d’entreprises versant de la participation avec la formule </w:t>
      </w:r>
      <w:r>
        <w:rPr>
          <w:rFonts w:ascii="Arial" w:hAnsi="Arial" w:cs="Arial"/>
          <w:b/>
          <w:bCs/>
          <w:sz w:val="20"/>
          <w:szCs w:val="20"/>
        </w:rPr>
        <w:t>10%*BC</w:t>
      </w:r>
    </w:p>
    <w:p w:rsidR="00916EA3" w:rsidRPr="00B7240C" w:rsidRDefault="00916EA3" w:rsidP="00916EA3">
      <w:pPr>
        <w:autoSpaceDE w:val="0"/>
        <w:jc w:val="center"/>
      </w:pPr>
      <w:r w:rsidRPr="00B7240C">
        <w:rPr>
          <w:rFonts w:ascii="Arial" w:hAnsi="Arial" w:cs="Arial"/>
          <w:b/>
          <w:bCs/>
          <w:sz w:val="20"/>
          <w:szCs w:val="20"/>
        </w:rPr>
        <w:t>par tranche de taille</w:t>
      </w:r>
    </w:p>
    <w:p w:rsidR="00916EA3" w:rsidRPr="00B7240C" w:rsidRDefault="00916EA3" w:rsidP="00916EA3">
      <w:pPr>
        <w:autoSpaceDE w:val="0"/>
        <w:jc w:val="center"/>
        <w:rPr>
          <w:rFonts w:ascii="Arial" w:hAnsi="Arial" w:cs="Arial"/>
          <w:bCs/>
          <w:i/>
          <w:sz w:val="18"/>
          <w:szCs w:val="18"/>
          <w:u w:val="single"/>
        </w:rPr>
      </w:pPr>
      <w:r>
        <w:rPr>
          <w:noProof/>
          <w:lang w:eastAsia="fr-FR"/>
        </w:rPr>
        <w:drawing>
          <wp:inline distT="0" distB="0" distL="0" distR="0" wp14:anchorId="5F8AC504" wp14:editId="69B513F3">
            <wp:extent cx="3794125" cy="2656840"/>
            <wp:effectExtent l="0" t="0" r="0" b="0"/>
            <wp:docPr id="8"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16EA3" w:rsidRPr="00B7240C" w:rsidRDefault="00916EA3" w:rsidP="009014A4">
      <w:pPr>
        <w:autoSpaceDE w:val="0"/>
        <w:spacing w:after="0" w:line="240" w:lineRule="auto"/>
        <w:rPr>
          <w:rFonts w:ascii="Arial" w:hAnsi="Arial" w:cs="Arial"/>
          <w:bCs/>
          <w:i/>
          <w:sz w:val="18"/>
          <w:szCs w:val="18"/>
          <w:u w:val="single"/>
        </w:rPr>
      </w:pPr>
      <w:r w:rsidRPr="00362372">
        <w:rPr>
          <w:rFonts w:ascii="Arial" w:hAnsi="Arial" w:cs="Arial"/>
          <w:bCs/>
          <w:i/>
          <w:sz w:val="18"/>
          <w:szCs w:val="18"/>
          <w:u w:val="single"/>
        </w:rPr>
        <w:t>Champ :</w:t>
      </w:r>
      <w:r w:rsidRPr="00B7240C">
        <w:rPr>
          <w:rFonts w:ascii="Arial" w:hAnsi="Arial" w:cs="Arial"/>
          <w:bCs/>
          <w:i/>
          <w:sz w:val="18"/>
          <w:szCs w:val="18"/>
        </w:rPr>
        <w:t xml:space="preserve"> entreprises privées de 50 salariés ou plus, hors secteurs agricole et financier.</w:t>
      </w:r>
    </w:p>
    <w:p w:rsidR="00916EA3" w:rsidRPr="00B7240C" w:rsidRDefault="00916EA3" w:rsidP="009014A4">
      <w:pPr>
        <w:autoSpaceDE w:val="0"/>
        <w:spacing w:after="0" w:line="240" w:lineRule="auto"/>
        <w:rPr>
          <w:rFonts w:ascii="Arial" w:hAnsi="Arial" w:cs="Arial"/>
          <w:bCs/>
          <w:sz w:val="20"/>
          <w:szCs w:val="20"/>
        </w:rPr>
      </w:pPr>
      <w:r w:rsidRPr="00362372">
        <w:rPr>
          <w:rFonts w:ascii="Arial" w:hAnsi="Arial" w:cs="Arial"/>
          <w:bCs/>
          <w:i/>
          <w:sz w:val="18"/>
          <w:szCs w:val="18"/>
          <w:u w:val="single"/>
        </w:rPr>
        <w:t>Source :</w:t>
      </w:r>
      <w:r w:rsidRPr="00B7240C">
        <w:rPr>
          <w:rFonts w:ascii="Arial" w:hAnsi="Arial" w:cs="Arial"/>
          <w:bCs/>
          <w:i/>
          <w:sz w:val="18"/>
          <w:szCs w:val="18"/>
        </w:rPr>
        <w:t xml:space="preserve"> Insee - fichier Fare 2015, calculs Dares.</w:t>
      </w:r>
    </w:p>
    <w:p w:rsidR="00042414" w:rsidRDefault="00042414" w:rsidP="00916EA3">
      <w:pPr>
        <w:autoSpaceDE w:val="0"/>
        <w:jc w:val="center"/>
        <w:rPr>
          <w:rFonts w:ascii="Arial" w:hAnsi="Arial" w:cs="Arial"/>
          <w:b/>
          <w:bCs/>
          <w:sz w:val="20"/>
          <w:szCs w:val="20"/>
        </w:rPr>
      </w:pPr>
    </w:p>
    <w:p w:rsidR="00916EA3" w:rsidRPr="00B7240C" w:rsidRDefault="00916EA3" w:rsidP="00916EA3">
      <w:pPr>
        <w:autoSpaceDE w:val="0"/>
        <w:jc w:val="center"/>
        <w:rPr>
          <w:rFonts w:ascii="Arial" w:hAnsi="Arial" w:cs="Arial"/>
          <w:b/>
          <w:bCs/>
          <w:sz w:val="20"/>
          <w:szCs w:val="20"/>
        </w:rPr>
      </w:pPr>
      <w:r w:rsidRPr="00B7240C">
        <w:rPr>
          <w:rFonts w:ascii="Arial" w:hAnsi="Arial" w:cs="Arial"/>
          <w:b/>
          <w:bCs/>
          <w:sz w:val="20"/>
          <w:szCs w:val="20"/>
        </w:rPr>
        <w:t xml:space="preserve">Graphique </w:t>
      </w:r>
      <w:r>
        <w:rPr>
          <w:rFonts w:ascii="Arial" w:hAnsi="Arial" w:cs="Arial"/>
          <w:b/>
          <w:bCs/>
          <w:sz w:val="20"/>
          <w:szCs w:val="20"/>
        </w:rPr>
        <w:t>4</w:t>
      </w:r>
      <w:r w:rsidRPr="00B7240C">
        <w:rPr>
          <w:rFonts w:ascii="Arial" w:hAnsi="Arial" w:cs="Arial"/>
          <w:b/>
          <w:bCs/>
          <w:sz w:val="20"/>
          <w:szCs w:val="20"/>
        </w:rPr>
        <w:t xml:space="preserve"> : Proportion d’entreprises versant de la participation</w:t>
      </w:r>
      <w:r>
        <w:rPr>
          <w:rFonts w:ascii="Arial" w:hAnsi="Arial" w:cs="Arial"/>
          <w:b/>
          <w:bCs/>
          <w:sz w:val="20"/>
          <w:szCs w:val="20"/>
        </w:rPr>
        <w:t xml:space="preserve"> </w:t>
      </w:r>
      <w:r w:rsidRPr="00B7240C">
        <w:rPr>
          <w:rFonts w:ascii="Arial" w:hAnsi="Arial" w:cs="Arial"/>
          <w:b/>
          <w:bCs/>
          <w:sz w:val="20"/>
          <w:szCs w:val="20"/>
        </w:rPr>
        <w:t xml:space="preserve">avec la formule </w:t>
      </w:r>
      <w:r>
        <w:rPr>
          <w:rFonts w:ascii="Arial" w:hAnsi="Arial" w:cs="Arial"/>
          <w:b/>
          <w:bCs/>
          <w:sz w:val="20"/>
          <w:szCs w:val="20"/>
        </w:rPr>
        <w:t>10%*BC</w:t>
      </w:r>
      <w:r w:rsidRPr="00B7240C">
        <w:rPr>
          <w:rFonts w:ascii="Arial" w:hAnsi="Arial" w:cs="Arial"/>
          <w:b/>
          <w:bCs/>
          <w:sz w:val="20"/>
          <w:szCs w:val="20"/>
        </w:rPr>
        <w:t xml:space="preserve"> </w:t>
      </w:r>
    </w:p>
    <w:p w:rsidR="00916EA3" w:rsidRPr="00B7240C" w:rsidRDefault="00916EA3" w:rsidP="00916EA3">
      <w:pPr>
        <w:autoSpaceDE w:val="0"/>
        <w:jc w:val="center"/>
      </w:pPr>
      <w:r w:rsidRPr="00B7240C">
        <w:rPr>
          <w:rFonts w:ascii="Arial" w:hAnsi="Arial" w:cs="Arial"/>
          <w:b/>
          <w:bCs/>
          <w:sz w:val="20"/>
          <w:szCs w:val="20"/>
        </w:rPr>
        <w:t>par tranche de taille</w:t>
      </w:r>
      <w:r>
        <w:rPr>
          <w:rFonts w:ascii="Arial" w:hAnsi="Arial" w:cs="Arial"/>
          <w:b/>
          <w:bCs/>
          <w:sz w:val="20"/>
          <w:szCs w:val="20"/>
        </w:rPr>
        <w:t>, selon la formule actuelle simulée</w:t>
      </w:r>
    </w:p>
    <w:p w:rsidR="00916EA3" w:rsidRPr="00B7240C" w:rsidRDefault="00916EA3" w:rsidP="00916EA3">
      <w:pPr>
        <w:autoSpaceDE w:val="0"/>
        <w:jc w:val="center"/>
        <w:rPr>
          <w:rFonts w:ascii="Arial" w:hAnsi="Arial" w:cs="Arial"/>
          <w:bCs/>
          <w:i/>
          <w:sz w:val="18"/>
          <w:szCs w:val="18"/>
          <w:u w:val="single"/>
        </w:rPr>
      </w:pPr>
      <w:r>
        <w:rPr>
          <w:noProof/>
          <w:lang w:eastAsia="fr-FR"/>
        </w:rPr>
        <w:drawing>
          <wp:inline distT="0" distB="0" distL="0" distR="0" wp14:anchorId="62CB47E3" wp14:editId="2B91BDE9">
            <wp:extent cx="3854450" cy="2700020"/>
            <wp:effectExtent l="0" t="0" r="0" b="5080"/>
            <wp:docPr id="7"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16EA3" w:rsidRPr="00B7240C" w:rsidRDefault="00916EA3" w:rsidP="009014A4">
      <w:pPr>
        <w:autoSpaceDE w:val="0"/>
        <w:spacing w:after="0" w:line="240" w:lineRule="auto"/>
        <w:rPr>
          <w:rFonts w:ascii="Arial" w:hAnsi="Arial" w:cs="Arial"/>
          <w:bCs/>
          <w:i/>
          <w:sz w:val="18"/>
          <w:szCs w:val="18"/>
          <w:u w:val="single"/>
        </w:rPr>
      </w:pPr>
      <w:r w:rsidRPr="00362372">
        <w:rPr>
          <w:rFonts w:ascii="Arial" w:hAnsi="Arial" w:cs="Arial"/>
          <w:bCs/>
          <w:i/>
          <w:sz w:val="18"/>
          <w:szCs w:val="18"/>
          <w:u w:val="single"/>
        </w:rPr>
        <w:t>Champ :</w:t>
      </w:r>
      <w:r w:rsidRPr="00B7240C">
        <w:rPr>
          <w:rFonts w:ascii="Arial" w:hAnsi="Arial" w:cs="Arial"/>
          <w:bCs/>
          <w:i/>
          <w:sz w:val="18"/>
          <w:szCs w:val="18"/>
        </w:rPr>
        <w:t xml:space="preserve"> entreprises privées de 50 salariés ou plus, hors secteurs agricole et financier.</w:t>
      </w:r>
    </w:p>
    <w:p w:rsidR="00916EA3" w:rsidRDefault="00916EA3" w:rsidP="009014A4">
      <w:pPr>
        <w:autoSpaceDE w:val="0"/>
        <w:spacing w:after="0" w:line="240" w:lineRule="auto"/>
        <w:rPr>
          <w:rFonts w:ascii="Arial" w:hAnsi="Arial" w:cs="Arial"/>
          <w:bCs/>
          <w:sz w:val="20"/>
          <w:szCs w:val="20"/>
        </w:rPr>
      </w:pPr>
      <w:r w:rsidRPr="00362372">
        <w:rPr>
          <w:rFonts w:ascii="Arial" w:hAnsi="Arial" w:cs="Arial"/>
          <w:bCs/>
          <w:i/>
          <w:sz w:val="18"/>
          <w:szCs w:val="18"/>
          <w:u w:val="single"/>
        </w:rPr>
        <w:t>Source :</w:t>
      </w:r>
      <w:r w:rsidRPr="00B7240C">
        <w:rPr>
          <w:rFonts w:ascii="Arial" w:hAnsi="Arial" w:cs="Arial"/>
          <w:bCs/>
          <w:i/>
          <w:sz w:val="18"/>
          <w:szCs w:val="18"/>
        </w:rPr>
        <w:t xml:space="preserve"> Insee - fichier Fare 2015, calculs Dares.</w:t>
      </w:r>
    </w:p>
    <w:p w:rsidR="00042414" w:rsidRDefault="00042414" w:rsidP="00916EA3">
      <w:pPr>
        <w:keepNext/>
        <w:autoSpaceDE w:val="0"/>
        <w:jc w:val="both"/>
        <w:rPr>
          <w:rFonts w:ascii="Arial" w:hAnsi="Arial" w:cs="Arial"/>
          <w:b/>
          <w:bCs/>
          <w:sz w:val="20"/>
          <w:szCs w:val="20"/>
          <w:u w:val="single"/>
        </w:rPr>
      </w:pPr>
    </w:p>
    <w:p w:rsidR="00916EA3" w:rsidRPr="00B7240C" w:rsidRDefault="00916EA3" w:rsidP="00916EA3">
      <w:pPr>
        <w:keepNext/>
        <w:autoSpaceDE w:val="0"/>
        <w:jc w:val="both"/>
        <w:rPr>
          <w:rFonts w:ascii="Arial" w:hAnsi="Arial" w:cs="Arial"/>
          <w:b/>
          <w:bCs/>
          <w:sz w:val="20"/>
          <w:szCs w:val="20"/>
          <w:u w:val="single"/>
        </w:rPr>
      </w:pPr>
      <w:r w:rsidRPr="00B7240C">
        <w:rPr>
          <w:rFonts w:ascii="Arial" w:hAnsi="Arial" w:cs="Arial"/>
          <w:b/>
          <w:bCs/>
          <w:sz w:val="20"/>
          <w:szCs w:val="20"/>
          <w:u w:val="single"/>
        </w:rPr>
        <w:t xml:space="preserve">La hausse des montants de participation affecte particulièrement les </w:t>
      </w:r>
      <w:r>
        <w:rPr>
          <w:rFonts w:ascii="Arial" w:hAnsi="Arial" w:cs="Arial"/>
          <w:b/>
          <w:bCs/>
          <w:sz w:val="20"/>
          <w:szCs w:val="20"/>
          <w:u w:val="single"/>
        </w:rPr>
        <w:t xml:space="preserve">activités immobilières et les </w:t>
      </w:r>
      <w:r w:rsidRPr="00B7240C">
        <w:rPr>
          <w:rFonts w:ascii="Arial" w:hAnsi="Arial" w:cs="Arial"/>
          <w:b/>
          <w:bCs/>
          <w:sz w:val="20"/>
          <w:szCs w:val="20"/>
          <w:u w:val="single"/>
        </w:rPr>
        <w:t>services aux entreprises</w:t>
      </w:r>
    </w:p>
    <w:p w:rsidR="00916EA3" w:rsidRPr="00B7240C" w:rsidRDefault="00916EA3" w:rsidP="00916EA3">
      <w:pPr>
        <w:keepNext/>
        <w:autoSpaceDE w:val="0"/>
        <w:jc w:val="both"/>
        <w:rPr>
          <w:rFonts w:ascii="Arial" w:hAnsi="Arial" w:cs="Arial"/>
          <w:bCs/>
          <w:sz w:val="20"/>
          <w:szCs w:val="20"/>
        </w:rPr>
      </w:pPr>
      <w:r w:rsidRPr="00B7240C">
        <w:rPr>
          <w:rFonts w:ascii="Arial" w:hAnsi="Arial" w:cs="Arial"/>
          <w:bCs/>
          <w:sz w:val="20"/>
          <w:szCs w:val="20"/>
        </w:rPr>
        <w:t>L</w:t>
      </w:r>
      <w:r>
        <w:rPr>
          <w:rFonts w:ascii="Arial" w:hAnsi="Arial" w:cs="Arial"/>
          <w:bCs/>
          <w:sz w:val="20"/>
          <w:szCs w:val="20"/>
        </w:rPr>
        <w:t xml:space="preserve">a </w:t>
      </w:r>
      <w:r w:rsidRPr="00B7240C">
        <w:rPr>
          <w:rFonts w:ascii="Arial" w:hAnsi="Arial" w:cs="Arial"/>
          <w:bCs/>
          <w:sz w:val="20"/>
          <w:szCs w:val="20"/>
        </w:rPr>
        <w:t>nouvelle</w:t>
      </w:r>
      <w:r>
        <w:rPr>
          <w:rFonts w:ascii="Arial" w:hAnsi="Arial" w:cs="Arial"/>
          <w:bCs/>
          <w:sz w:val="20"/>
          <w:szCs w:val="20"/>
        </w:rPr>
        <w:t xml:space="preserve"> formule</w:t>
      </w:r>
      <w:r w:rsidRPr="00B7240C">
        <w:rPr>
          <w:rFonts w:ascii="Arial" w:hAnsi="Arial" w:cs="Arial"/>
          <w:bCs/>
          <w:sz w:val="20"/>
          <w:szCs w:val="20"/>
        </w:rPr>
        <w:t xml:space="preserve"> </w:t>
      </w:r>
      <w:r>
        <w:rPr>
          <w:rFonts w:ascii="Arial" w:hAnsi="Arial" w:cs="Arial"/>
          <w:bCs/>
          <w:sz w:val="20"/>
          <w:szCs w:val="20"/>
        </w:rPr>
        <w:t xml:space="preserve">augmente de 20 % le montant </w:t>
      </w:r>
      <w:r w:rsidRPr="00B7240C">
        <w:rPr>
          <w:rFonts w:ascii="Arial" w:hAnsi="Arial" w:cs="Arial"/>
          <w:bCs/>
          <w:sz w:val="20"/>
          <w:szCs w:val="20"/>
        </w:rPr>
        <w:t xml:space="preserve">de participation </w:t>
      </w:r>
      <w:r>
        <w:rPr>
          <w:rFonts w:ascii="Arial" w:hAnsi="Arial" w:cs="Arial"/>
          <w:bCs/>
          <w:sz w:val="20"/>
          <w:szCs w:val="20"/>
        </w:rPr>
        <w:t xml:space="preserve">des entreprises de 50 salariés ou plus issu des liasses fiscales. Cette augmentation est particulièrement marquée dans le secteur des </w:t>
      </w:r>
      <w:r>
        <w:rPr>
          <w:rFonts w:ascii="Arial" w:hAnsi="Arial" w:cs="Arial"/>
          <w:bCs/>
          <w:sz w:val="20"/>
          <w:szCs w:val="20"/>
        </w:rPr>
        <w:lastRenderedPageBreak/>
        <w:t>activités immobilières et d</w:t>
      </w:r>
      <w:r w:rsidRPr="00B7240C">
        <w:rPr>
          <w:rFonts w:ascii="Arial" w:hAnsi="Arial" w:cs="Arial"/>
          <w:bCs/>
          <w:sz w:val="20"/>
          <w:szCs w:val="20"/>
        </w:rPr>
        <w:t xml:space="preserve">es services aux entreprises (activités spécialisées, scientifiques et techniques et activités de services administratifs et de soutien) : la participation est multipliée par un facteur supérieur à </w:t>
      </w:r>
      <w:r>
        <w:rPr>
          <w:rFonts w:ascii="Arial" w:hAnsi="Arial" w:cs="Arial"/>
          <w:bCs/>
          <w:sz w:val="20"/>
          <w:szCs w:val="20"/>
        </w:rPr>
        <w:t>deux</w:t>
      </w:r>
      <w:r w:rsidRPr="00B7240C">
        <w:rPr>
          <w:rFonts w:ascii="Arial" w:hAnsi="Arial" w:cs="Arial"/>
          <w:bCs/>
          <w:sz w:val="20"/>
          <w:szCs w:val="20"/>
        </w:rPr>
        <w:t xml:space="preserve"> </w:t>
      </w:r>
      <w:r>
        <w:rPr>
          <w:rFonts w:ascii="Arial" w:hAnsi="Arial" w:cs="Arial"/>
          <w:bCs/>
          <w:sz w:val="20"/>
          <w:szCs w:val="20"/>
        </w:rPr>
        <w:t>dans les deux secteurs d’activité (tableau 3).</w:t>
      </w:r>
    </w:p>
    <w:p w:rsidR="00916EA3" w:rsidRPr="00B7240C" w:rsidRDefault="00916EA3" w:rsidP="00916EA3">
      <w:pPr>
        <w:autoSpaceDE w:val="0"/>
        <w:jc w:val="both"/>
        <w:rPr>
          <w:rFonts w:ascii="Arial" w:hAnsi="Arial" w:cs="Arial"/>
          <w:bCs/>
          <w:sz w:val="20"/>
          <w:szCs w:val="20"/>
        </w:rPr>
      </w:pPr>
      <w:r>
        <w:rPr>
          <w:rFonts w:ascii="Arial" w:hAnsi="Arial" w:cs="Arial"/>
          <w:bCs/>
          <w:sz w:val="20"/>
          <w:szCs w:val="20"/>
        </w:rPr>
        <w:t>C</w:t>
      </w:r>
      <w:r w:rsidRPr="00B7240C">
        <w:rPr>
          <w:rFonts w:ascii="Arial" w:hAnsi="Arial" w:cs="Arial"/>
          <w:bCs/>
          <w:sz w:val="20"/>
          <w:szCs w:val="20"/>
        </w:rPr>
        <w:t>’est dans l’hébergement-restauration que la proportion d’entreprises versant de la participation augmente le plus fortement (+ </w:t>
      </w:r>
      <w:r>
        <w:rPr>
          <w:rFonts w:ascii="Arial" w:hAnsi="Arial" w:cs="Arial"/>
          <w:bCs/>
          <w:sz w:val="20"/>
          <w:szCs w:val="20"/>
        </w:rPr>
        <w:t>42</w:t>
      </w:r>
      <w:r w:rsidRPr="00B7240C">
        <w:rPr>
          <w:rFonts w:ascii="Arial" w:hAnsi="Arial" w:cs="Arial"/>
          <w:bCs/>
          <w:sz w:val="20"/>
          <w:szCs w:val="20"/>
        </w:rPr>
        <w:t xml:space="preserve"> points). Ce résultat est à relier à la faible taille des entreprises d</w:t>
      </w:r>
      <w:r>
        <w:rPr>
          <w:rFonts w:ascii="Arial" w:hAnsi="Arial" w:cs="Arial"/>
          <w:bCs/>
          <w:sz w:val="20"/>
          <w:szCs w:val="20"/>
        </w:rPr>
        <w:t>e</w:t>
      </w:r>
      <w:r w:rsidRPr="00B7240C">
        <w:rPr>
          <w:rFonts w:ascii="Arial" w:hAnsi="Arial" w:cs="Arial"/>
          <w:bCs/>
          <w:sz w:val="20"/>
          <w:szCs w:val="20"/>
        </w:rPr>
        <w:t xml:space="preserve"> ce secteur. </w:t>
      </w:r>
    </w:p>
    <w:p w:rsidR="00916EA3" w:rsidRDefault="00916EA3" w:rsidP="00916EA3">
      <w:pPr>
        <w:autoSpaceDE w:val="0"/>
        <w:jc w:val="center"/>
        <w:rPr>
          <w:rFonts w:ascii="Arial" w:hAnsi="Arial" w:cs="Arial"/>
          <w:b/>
          <w:sz w:val="20"/>
          <w:szCs w:val="20"/>
        </w:rPr>
      </w:pPr>
    </w:p>
    <w:p w:rsidR="00916EA3" w:rsidRPr="00B7240C" w:rsidRDefault="00916EA3" w:rsidP="00916EA3">
      <w:pPr>
        <w:autoSpaceDE w:val="0"/>
        <w:jc w:val="center"/>
        <w:rPr>
          <w:rFonts w:ascii="Arial" w:hAnsi="Arial" w:cs="Arial"/>
          <w:b/>
          <w:color w:val="000000"/>
          <w:sz w:val="20"/>
          <w:szCs w:val="20"/>
        </w:rPr>
      </w:pPr>
      <w:r w:rsidRPr="00B7240C">
        <w:rPr>
          <w:rFonts w:ascii="Arial" w:hAnsi="Arial" w:cs="Arial"/>
          <w:b/>
          <w:sz w:val="20"/>
          <w:szCs w:val="20"/>
        </w:rPr>
        <w:t>Tableau 3 : Ratio « Participation estimée / Participation actuelle » par secteur d’activité</w:t>
      </w:r>
    </w:p>
    <w:tbl>
      <w:tblPr>
        <w:tblW w:w="6085" w:type="dxa"/>
        <w:jc w:val="center"/>
        <w:tblInd w:w="50" w:type="dxa"/>
        <w:tblLayout w:type="fixed"/>
        <w:tblCellMar>
          <w:left w:w="70" w:type="dxa"/>
          <w:right w:w="70" w:type="dxa"/>
        </w:tblCellMar>
        <w:tblLook w:val="0000" w:firstRow="0" w:lastRow="0" w:firstColumn="0" w:lastColumn="0" w:noHBand="0" w:noVBand="0"/>
      </w:tblPr>
      <w:tblGrid>
        <w:gridCol w:w="5040"/>
        <w:gridCol w:w="1045"/>
      </w:tblGrid>
      <w:tr w:rsidR="00916EA3" w:rsidRPr="005F4B44" w:rsidTr="00916EA3">
        <w:trPr>
          <w:cantSplit/>
          <w:trHeight w:val="288"/>
          <w:jc w:val="center"/>
        </w:trPr>
        <w:tc>
          <w:tcPr>
            <w:tcW w:w="5040" w:type="dxa"/>
            <w:tcBorders>
              <w:top w:val="single" w:sz="4" w:space="0" w:color="000000"/>
              <w:left w:val="single" w:sz="4" w:space="0" w:color="000000"/>
              <w:bottom w:val="single" w:sz="4" w:space="0" w:color="000000"/>
            </w:tcBorders>
            <w:shd w:val="clear" w:color="auto" w:fill="auto"/>
            <w:vAlign w:val="center"/>
          </w:tcPr>
          <w:p w:rsidR="00916EA3" w:rsidRPr="005F4B44" w:rsidRDefault="00916EA3" w:rsidP="00916EA3">
            <w:pPr>
              <w:snapToGrid w:val="0"/>
              <w:jc w:val="center"/>
              <w:rPr>
                <w:rFonts w:ascii="Arial" w:hAnsi="Arial" w:cs="Arial"/>
                <w:color w:val="000000"/>
                <w:sz w:val="20"/>
                <w:szCs w:val="20"/>
              </w:rPr>
            </w:pPr>
            <w:r w:rsidRPr="005F4B44">
              <w:rPr>
                <w:rFonts w:ascii="Arial" w:hAnsi="Arial" w:cs="Arial"/>
                <w:color w:val="000000"/>
                <w:sz w:val="20"/>
                <w:szCs w:val="20"/>
              </w:rPr>
              <w:t>Secteur d'activité de l'entreprise</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EA3" w:rsidRPr="005F4B44" w:rsidRDefault="00916EA3" w:rsidP="006D06A1">
            <w:pPr>
              <w:jc w:val="center"/>
              <w:rPr>
                <w:rFonts w:ascii="Arial" w:hAnsi="Arial" w:cs="Arial"/>
                <w:color w:val="000000"/>
                <w:sz w:val="20"/>
                <w:szCs w:val="20"/>
              </w:rPr>
            </w:pPr>
            <w:r w:rsidRPr="005F4B44">
              <w:rPr>
                <w:rFonts w:ascii="Arial" w:hAnsi="Arial" w:cs="Arial"/>
                <w:color w:val="000000"/>
                <w:sz w:val="20"/>
                <w:szCs w:val="20"/>
              </w:rPr>
              <w:t>10%*BC</w:t>
            </w:r>
          </w:p>
        </w:tc>
      </w:tr>
      <w:tr w:rsidR="00916EA3" w:rsidRPr="005F4B44" w:rsidTr="00916EA3">
        <w:trPr>
          <w:trHeight w:val="576"/>
          <w:jc w:val="center"/>
        </w:trPr>
        <w:tc>
          <w:tcPr>
            <w:tcW w:w="5040" w:type="dxa"/>
            <w:tcBorders>
              <w:top w:val="none" w:sz="0" w:space="0" w:color="000000"/>
              <w:left w:val="single" w:sz="4" w:space="0" w:color="000000"/>
              <w:bottom w:val="dashed" w:sz="4" w:space="0" w:color="808080"/>
            </w:tcBorders>
            <w:shd w:val="clear" w:color="auto" w:fill="auto"/>
            <w:vAlign w:val="center"/>
          </w:tcPr>
          <w:p w:rsidR="00916EA3" w:rsidRPr="005F4B44" w:rsidRDefault="00916EA3" w:rsidP="00916EA3">
            <w:pPr>
              <w:rPr>
                <w:rFonts w:ascii="Arial" w:hAnsi="Arial" w:cs="Arial"/>
                <w:color w:val="000000"/>
                <w:sz w:val="20"/>
                <w:szCs w:val="20"/>
              </w:rPr>
            </w:pPr>
            <w:r w:rsidRPr="005F4B44">
              <w:rPr>
                <w:rFonts w:ascii="Arial" w:hAnsi="Arial" w:cs="Arial"/>
                <w:color w:val="000000"/>
                <w:sz w:val="20"/>
                <w:szCs w:val="20"/>
              </w:rPr>
              <w:t>Fabrication de denrées alimentaires, de boisson et de produits à base de tabac</w:t>
            </w:r>
          </w:p>
        </w:tc>
        <w:tc>
          <w:tcPr>
            <w:tcW w:w="1045" w:type="dxa"/>
            <w:tcBorders>
              <w:top w:val="none" w:sz="0" w:space="0" w:color="000000"/>
              <w:left w:val="single" w:sz="4" w:space="0" w:color="000000"/>
              <w:bottom w:val="dashed" w:sz="4" w:space="0" w:color="808080"/>
              <w:right w:val="single" w:sz="4" w:space="0" w:color="000000"/>
            </w:tcBorders>
            <w:shd w:val="clear" w:color="auto" w:fill="auto"/>
            <w:vAlign w:val="center"/>
          </w:tcPr>
          <w:p w:rsidR="00916EA3" w:rsidRPr="005F4B44" w:rsidRDefault="00916EA3" w:rsidP="009014A4">
            <w:pPr>
              <w:jc w:val="center"/>
              <w:rPr>
                <w:rFonts w:ascii="Arial" w:hAnsi="Arial" w:cs="Arial"/>
                <w:color w:val="000000"/>
                <w:sz w:val="20"/>
                <w:szCs w:val="20"/>
              </w:rPr>
            </w:pPr>
            <w:r w:rsidRPr="005F4B44">
              <w:rPr>
                <w:rFonts w:ascii="Arial" w:hAnsi="Arial" w:cs="Arial"/>
                <w:color w:val="000000"/>
                <w:sz w:val="20"/>
                <w:szCs w:val="20"/>
              </w:rPr>
              <w:t>1,2</w:t>
            </w:r>
          </w:p>
        </w:tc>
      </w:tr>
      <w:tr w:rsidR="00916EA3" w:rsidRPr="005F4B44" w:rsidTr="00916EA3">
        <w:trPr>
          <w:trHeight w:val="288"/>
          <w:jc w:val="center"/>
        </w:trPr>
        <w:tc>
          <w:tcPr>
            <w:tcW w:w="5040" w:type="dxa"/>
            <w:tcBorders>
              <w:top w:val="none" w:sz="0" w:space="0" w:color="000000"/>
              <w:left w:val="single" w:sz="4" w:space="0" w:color="000000"/>
              <w:bottom w:val="dashed" w:sz="4" w:space="0" w:color="808080"/>
            </w:tcBorders>
            <w:shd w:val="clear" w:color="auto" w:fill="auto"/>
            <w:vAlign w:val="center"/>
          </w:tcPr>
          <w:p w:rsidR="00916EA3" w:rsidRPr="005F4B44" w:rsidRDefault="00916EA3" w:rsidP="00916EA3">
            <w:pPr>
              <w:rPr>
                <w:rFonts w:ascii="Arial" w:hAnsi="Arial" w:cs="Arial"/>
                <w:color w:val="000000"/>
                <w:sz w:val="20"/>
                <w:szCs w:val="20"/>
              </w:rPr>
            </w:pPr>
            <w:r w:rsidRPr="005F4B44">
              <w:rPr>
                <w:rFonts w:ascii="Arial" w:hAnsi="Arial" w:cs="Arial"/>
                <w:color w:val="000000"/>
                <w:sz w:val="20"/>
                <w:szCs w:val="20"/>
              </w:rPr>
              <w:t>Cokéfaction et raffinage</w:t>
            </w:r>
          </w:p>
        </w:tc>
        <w:tc>
          <w:tcPr>
            <w:tcW w:w="1045" w:type="dxa"/>
            <w:tcBorders>
              <w:top w:val="none" w:sz="0" w:space="0" w:color="000000"/>
              <w:left w:val="single" w:sz="4" w:space="0" w:color="000000"/>
              <w:bottom w:val="dashed" w:sz="4" w:space="0" w:color="808080"/>
              <w:right w:val="single" w:sz="4" w:space="0" w:color="000000"/>
            </w:tcBorders>
            <w:shd w:val="clear" w:color="auto" w:fill="auto"/>
            <w:vAlign w:val="center"/>
          </w:tcPr>
          <w:p w:rsidR="00916EA3" w:rsidRPr="005F4B44" w:rsidRDefault="00916EA3" w:rsidP="009014A4">
            <w:pPr>
              <w:jc w:val="center"/>
              <w:rPr>
                <w:rFonts w:ascii="Arial" w:hAnsi="Arial" w:cs="Arial"/>
                <w:color w:val="000000"/>
                <w:sz w:val="20"/>
                <w:szCs w:val="20"/>
              </w:rPr>
            </w:pPr>
            <w:r w:rsidRPr="005F4B44">
              <w:rPr>
                <w:rFonts w:ascii="Arial" w:hAnsi="Arial" w:cs="Arial"/>
                <w:color w:val="000000"/>
                <w:sz w:val="20"/>
                <w:szCs w:val="20"/>
              </w:rPr>
              <w:t>1,1</w:t>
            </w:r>
          </w:p>
        </w:tc>
      </w:tr>
      <w:tr w:rsidR="00916EA3" w:rsidRPr="005F4B44" w:rsidTr="00916EA3">
        <w:trPr>
          <w:trHeight w:val="576"/>
          <w:jc w:val="center"/>
        </w:trPr>
        <w:tc>
          <w:tcPr>
            <w:tcW w:w="5040" w:type="dxa"/>
            <w:tcBorders>
              <w:top w:val="none" w:sz="0" w:space="0" w:color="000000"/>
              <w:left w:val="single" w:sz="4" w:space="0" w:color="000000"/>
              <w:bottom w:val="dashed" w:sz="4" w:space="0" w:color="808080"/>
            </w:tcBorders>
            <w:shd w:val="clear" w:color="auto" w:fill="auto"/>
            <w:vAlign w:val="center"/>
          </w:tcPr>
          <w:p w:rsidR="00916EA3" w:rsidRPr="005F4B44" w:rsidRDefault="00916EA3" w:rsidP="00916EA3">
            <w:pPr>
              <w:rPr>
                <w:rFonts w:ascii="Arial" w:hAnsi="Arial" w:cs="Arial"/>
                <w:color w:val="000000"/>
                <w:sz w:val="20"/>
                <w:szCs w:val="20"/>
              </w:rPr>
            </w:pPr>
            <w:r w:rsidRPr="005F4B44">
              <w:rPr>
                <w:rFonts w:ascii="Arial" w:hAnsi="Arial" w:cs="Arial"/>
                <w:color w:val="000000"/>
                <w:sz w:val="20"/>
                <w:szCs w:val="20"/>
              </w:rPr>
              <w:t>Fabrication d’équipements électriques, électroniques, informatiques, fabrication de machines</w:t>
            </w:r>
          </w:p>
        </w:tc>
        <w:tc>
          <w:tcPr>
            <w:tcW w:w="1045" w:type="dxa"/>
            <w:tcBorders>
              <w:top w:val="none" w:sz="0" w:space="0" w:color="000000"/>
              <w:left w:val="single" w:sz="4" w:space="0" w:color="000000"/>
              <w:bottom w:val="dashed" w:sz="4" w:space="0" w:color="808080"/>
              <w:right w:val="single" w:sz="4" w:space="0" w:color="000000"/>
            </w:tcBorders>
            <w:shd w:val="clear" w:color="auto" w:fill="auto"/>
            <w:vAlign w:val="center"/>
          </w:tcPr>
          <w:p w:rsidR="00916EA3" w:rsidRPr="005F4B44" w:rsidRDefault="00916EA3" w:rsidP="009014A4">
            <w:pPr>
              <w:jc w:val="center"/>
              <w:rPr>
                <w:rFonts w:ascii="Arial" w:hAnsi="Arial" w:cs="Arial"/>
                <w:color w:val="000000"/>
                <w:sz w:val="20"/>
                <w:szCs w:val="20"/>
              </w:rPr>
            </w:pPr>
            <w:r w:rsidRPr="005F4B44">
              <w:rPr>
                <w:rFonts w:ascii="Arial" w:hAnsi="Arial" w:cs="Arial"/>
                <w:color w:val="000000"/>
                <w:sz w:val="20"/>
                <w:szCs w:val="20"/>
              </w:rPr>
              <w:t>1,3</w:t>
            </w:r>
          </w:p>
        </w:tc>
      </w:tr>
      <w:tr w:rsidR="00916EA3" w:rsidRPr="005F4B44" w:rsidTr="00916EA3">
        <w:trPr>
          <w:trHeight w:val="288"/>
          <w:jc w:val="center"/>
        </w:trPr>
        <w:tc>
          <w:tcPr>
            <w:tcW w:w="5040" w:type="dxa"/>
            <w:tcBorders>
              <w:top w:val="none" w:sz="0" w:space="0" w:color="000000"/>
              <w:left w:val="single" w:sz="4" w:space="0" w:color="000000"/>
              <w:bottom w:val="dashed" w:sz="4" w:space="0" w:color="808080"/>
            </w:tcBorders>
            <w:shd w:val="clear" w:color="auto" w:fill="auto"/>
            <w:vAlign w:val="center"/>
          </w:tcPr>
          <w:p w:rsidR="00916EA3" w:rsidRPr="005F4B44" w:rsidRDefault="00916EA3" w:rsidP="00916EA3">
            <w:pPr>
              <w:rPr>
                <w:rFonts w:ascii="Arial" w:hAnsi="Arial" w:cs="Arial"/>
                <w:color w:val="000000"/>
                <w:sz w:val="20"/>
                <w:szCs w:val="20"/>
              </w:rPr>
            </w:pPr>
            <w:r w:rsidRPr="005F4B44">
              <w:rPr>
                <w:rFonts w:ascii="Arial" w:hAnsi="Arial" w:cs="Arial"/>
                <w:color w:val="000000"/>
                <w:sz w:val="20"/>
                <w:szCs w:val="20"/>
              </w:rPr>
              <w:t>Fabrication de matériels de transport</w:t>
            </w:r>
          </w:p>
        </w:tc>
        <w:tc>
          <w:tcPr>
            <w:tcW w:w="1045" w:type="dxa"/>
            <w:tcBorders>
              <w:top w:val="none" w:sz="0" w:space="0" w:color="000000"/>
              <w:left w:val="single" w:sz="4" w:space="0" w:color="000000"/>
              <w:bottom w:val="dashed" w:sz="4" w:space="0" w:color="808080"/>
              <w:right w:val="single" w:sz="4" w:space="0" w:color="000000"/>
            </w:tcBorders>
            <w:shd w:val="clear" w:color="auto" w:fill="auto"/>
            <w:vAlign w:val="center"/>
          </w:tcPr>
          <w:p w:rsidR="00916EA3" w:rsidRPr="005F4B44" w:rsidRDefault="00916EA3" w:rsidP="009014A4">
            <w:pPr>
              <w:jc w:val="center"/>
              <w:rPr>
                <w:rFonts w:ascii="Arial" w:hAnsi="Arial" w:cs="Arial"/>
                <w:color w:val="000000"/>
                <w:sz w:val="20"/>
                <w:szCs w:val="20"/>
              </w:rPr>
            </w:pPr>
            <w:r w:rsidRPr="005F4B44">
              <w:rPr>
                <w:rFonts w:ascii="Arial" w:hAnsi="Arial" w:cs="Arial"/>
                <w:color w:val="000000"/>
                <w:sz w:val="20"/>
                <w:szCs w:val="20"/>
              </w:rPr>
              <w:t>0,7</w:t>
            </w:r>
          </w:p>
        </w:tc>
      </w:tr>
      <w:tr w:rsidR="00916EA3" w:rsidRPr="005F4B44" w:rsidTr="00916EA3">
        <w:trPr>
          <w:trHeight w:val="288"/>
          <w:jc w:val="center"/>
        </w:trPr>
        <w:tc>
          <w:tcPr>
            <w:tcW w:w="5040" w:type="dxa"/>
            <w:tcBorders>
              <w:top w:val="none" w:sz="0" w:space="0" w:color="000000"/>
              <w:left w:val="single" w:sz="4" w:space="0" w:color="000000"/>
              <w:bottom w:val="dashed" w:sz="4" w:space="0" w:color="808080"/>
            </w:tcBorders>
            <w:shd w:val="clear" w:color="auto" w:fill="auto"/>
            <w:vAlign w:val="center"/>
          </w:tcPr>
          <w:p w:rsidR="00916EA3" w:rsidRPr="005F4B44" w:rsidRDefault="00916EA3" w:rsidP="00916EA3">
            <w:pPr>
              <w:rPr>
                <w:rFonts w:ascii="Arial" w:hAnsi="Arial" w:cs="Arial"/>
                <w:color w:val="000000"/>
                <w:sz w:val="20"/>
                <w:szCs w:val="20"/>
              </w:rPr>
            </w:pPr>
            <w:r w:rsidRPr="005F4B44">
              <w:rPr>
                <w:rFonts w:ascii="Arial" w:hAnsi="Arial" w:cs="Arial"/>
                <w:color w:val="000000"/>
                <w:sz w:val="20"/>
                <w:szCs w:val="20"/>
              </w:rPr>
              <w:t xml:space="preserve">Fabrication d’autres produits industriels </w:t>
            </w:r>
          </w:p>
        </w:tc>
        <w:tc>
          <w:tcPr>
            <w:tcW w:w="1045" w:type="dxa"/>
            <w:tcBorders>
              <w:top w:val="none" w:sz="0" w:space="0" w:color="000000"/>
              <w:left w:val="single" w:sz="4" w:space="0" w:color="000000"/>
              <w:bottom w:val="dashed" w:sz="4" w:space="0" w:color="808080"/>
              <w:right w:val="single" w:sz="4" w:space="0" w:color="000000"/>
            </w:tcBorders>
            <w:shd w:val="clear" w:color="auto" w:fill="auto"/>
            <w:vAlign w:val="center"/>
          </w:tcPr>
          <w:p w:rsidR="00916EA3" w:rsidRPr="005F4B44" w:rsidRDefault="00916EA3" w:rsidP="009014A4">
            <w:pPr>
              <w:jc w:val="center"/>
              <w:rPr>
                <w:rFonts w:ascii="Arial" w:hAnsi="Arial" w:cs="Arial"/>
                <w:color w:val="000000"/>
                <w:sz w:val="20"/>
                <w:szCs w:val="20"/>
              </w:rPr>
            </w:pPr>
            <w:r w:rsidRPr="005F4B44">
              <w:rPr>
                <w:rFonts w:ascii="Arial" w:hAnsi="Arial" w:cs="Arial"/>
                <w:color w:val="000000"/>
                <w:sz w:val="20"/>
                <w:szCs w:val="20"/>
              </w:rPr>
              <w:t>1,2</w:t>
            </w:r>
          </w:p>
        </w:tc>
      </w:tr>
      <w:tr w:rsidR="00916EA3" w:rsidRPr="005F4B44" w:rsidTr="00916EA3">
        <w:trPr>
          <w:trHeight w:val="576"/>
          <w:jc w:val="center"/>
        </w:trPr>
        <w:tc>
          <w:tcPr>
            <w:tcW w:w="5040" w:type="dxa"/>
            <w:tcBorders>
              <w:top w:val="none" w:sz="0" w:space="0" w:color="000000"/>
              <w:left w:val="single" w:sz="4" w:space="0" w:color="000000"/>
              <w:bottom w:val="dashed" w:sz="4" w:space="0" w:color="808080"/>
            </w:tcBorders>
            <w:shd w:val="clear" w:color="auto" w:fill="auto"/>
            <w:vAlign w:val="center"/>
          </w:tcPr>
          <w:p w:rsidR="00916EA3" w:rsidRPr="005F4B44" w:rsidRDefault="00916EA3" w:rsidP="00916EA3">
            <w:pPr>
              <w:rPr>
                <w:rFonts w:ascii="Arial" w:hAnsi="Arial" w:cs="Arial"/>
                <w:color w:val="000000"/>
                <w:sz w:val="20"/>
                <w:szCs w:val="20"/>
              </w:rPr>
            </w:pPr>
            <w:r w:rsidRPr="005F4B44">
              <w:rPr>
                <w:rFonts w:ascii="Arial" w:hAnsi="Arial" w:cs="Arial"/>
                <w:color w:val="000000"/>
                <w:sz w:val="20"/>
                <w:szCs w:val="20"/>
              </w:rPr>
              <w:t>Industries extractives, énergie, eau, gestion des déchets et dépollution</w:t>
            </w:r>
          </w:p>
        </w:tc>
        <w:tc>
          <w:tcPr>
            <w:tcW w:w="1045" w:type="dxa"/>
            <w:tcBorders>
              <w:top w:val="none" w:sz="0" w:space="0" w:color="000000"/>
              <w:left w:val="single" w:sz="4" w:space="0" w:color="000000"/>
              <w:bottom w:val="dashed" w:sz="4" w:space="0" w:color="808080"/>
              <w:right w:val="single" w:sz="4" w:space="0" w:color="000000"/>
            </w:tcBorders>
            <w:shd w:val="clear" w:color="auto" w:fill="auto"/>
            <w:vAlign w:val="center"/>
          </w:tcPr>
          <w:p w:rsidR="00916EA3" w:rsidRPr="005F4B44" w:rsidRDefault="00916EA3" w:rsidP="009014A4">
            <w:pPr>
              <w:jc w:val="center"/>
              <w:rPr>
                <w:rFonts w:ascii="Arial" w:hAnsi="Arial" w:cs="Arial"/>
                <w:color w:val="000000"/>
                <w:sz w:val="20"/>
                <w:szCs w:val="20"/>
              </w:rPr>
            </w:pPr>
            <w:r w:rsidRPr="005F4B44">
              <w:rPr>
                <w:rFonts w:ascii="Arial" w:hAnsi="Arial" w:cs="Arial"/>
                <w:color w:val="000000"/>
                <w:sz w:val="20"/>
                <w:szCs w:val="20"/>
              </w:rPr>
              <w:t>1,2</w:t>
            </w:r>
          </w:p>
        </w:tc>
      </w:tr>
      <w:tr w:rsidR="00916EA3" w:rsidRPr="005F4B44" w:rsidTr="00916EA3">
        <w:trPr>
          <w:trHeight w:val="288"/>
          <w:jc w:val="center"/>
        </w:trPr>
        <w:tc>
          <w:tcPr>
            <w:tcW w:w="5040" w:type="dxa"/>
            <w:tcBorders>
              <w:top w:val="none" w:sz="0" w:space="0" w:color="000000"/>
              <w:left w:val="single" w:sz="4" w:space="0" w:color="000000"/>
              <w:bottom w:val="dashed" w:sz="4" w:space="0" w:color="808080"/>
            </w:tcBorders>
            <w:shd w:val="clear" w:color="auto" w:fill="auto"/>
            <w:vAlign w:val="center"/>
          </w:tcPr>
          <w:p w:rsidR="00916EA3" w:rsidRPr="005F4B44" w:rsidRDefault="00916EA3" w:rsidP="00916EA3">
            <w:pPr>
              <w:rPr>
                <w:rFonts w:ascii="Arial" w:hAnsi="Arial" w:cs="Arial"/>
                <w:color w:val="000000"/>
                <w:sz w:val="20"/>
                <w:szCs w:val="20"/>
              </w:rPr>
            </w:pPr>
            <w:r w:rsidRPr="005F4B44">
              <w:rPr>
                <w:rFonts w:ascii="Arial" w:hAnsi="Arial" w:cs="Arial"/>
                <w:color w:val="000000"/>
                <w:sz w:val="20"/>
                <w:szCs w:val="20"/>
              </w:rPr>
              <w:t>Construction</w:t>
            </w:r>
          </w:p>
        </w:tc>
        <w:tc>
          <w:tcPr>
            <w:tcW w:w="1045" w:type="dxa"/>
            <w:tcBorders>
              <w:top w:val="none" w:sz="0" w:space="0" w:color="000000"/>
              <w:left w:val="single" w:sz="4" w:space="0" w:color="000000"/>
              <w:bottom w:val="dashed" w:sz="4" w:space="0" w:color="808080"/>
              <w:right w:val="single" w:sz="4" w:space="0" w:color="000000"/>
            </w:tcBorders>
            <w:shd w:val="clear" w:color="auto" w:fill="auto"/>
            <w:vAlign w:val="center"/>
          </w:tcPr>
          <w:p w:rsidR="00916EA3" w:rsidRPr="005F4B44" w:rsidRDefault="00916EA3" w:rsidP="009014A4">
            <w:pPr>
              <w:jc w:val="center"/>
              <w:rPr>
                <w:rFonts w:ascii="Arial" w:hAnsi="Arial" w:cs="Arial"/>
                <w:color w:val="000000"/>
                <w:sz w:val="20"/>
                <w:szCs w:val="20"/>
              </w:rPr>
            </w:pPr>
            <w:r w:rsidRPr="005F4B44">
              <w:rPr>
                <w:rFonts w:ascii="Arial" w:hAnsi="Arial" w:cs="Arial"/>
                <w:color w:val="000000"/>
                <w:sz w:val="20"/>
                <w:szCs w:val="20"/>
              </w:rPr>
              <w:t>0,9</w:t>
            </w:r>
          </w:p>
        </w:tc>
      </w:tr>
      <w:tr w:rsidR="00916EA3" w:rsidRPr="005F4B44" w:rsidTr="00916EA3">
        <w:trPr>
          <w:trHeight w:val="288"/>
          <w:jc w:val="center"/>
        </w:trPr>
        <w:tc>
          <w:tcPr>
            <w:tcW w:w="5040" w:type="dxa"/>
            <w:tcBorders>
              <w:top w:val="none" w:sz="0" w:space="0" w:color="000000"/>
              <w:left w:val="single" w:sz="4" w:space="0" w:color="000000"/>
              <w:bottom w:val="dashed" w:sz="4" w:space="0" w:color="808080"/>
            </w:tcBorders>
            <w:shd w:val="clear" w:color="auto" w:fill="auto"/>
            <w:vAlign w:val="center"/>
          </w:tcPr>
          <w:p w:rsidR="00916EA3" w:rsidRPr="005F4B44" w:rsidRDefault="00916EA3" w:rsidP="00916EA3">
            <w:pPr>
              <w:rPr>
                <w:rFonts w:ascii="Arial" w:hAnsi="Arial" w:cs="Arial"/>
                <w:color w:val="000000"/>
                <w:sz w:val="20"/>
                <w:szCs w:val="20"/>
              </w:rPr>
            </w:pPr>
            <w:r w:rsidRPr="005F4B44">
              <w:rPr>
                <w:rFonts w:ascii="Arial" w:hAnsi="Arial" w:cs="Arial"/>
                <w:color w:val="000000"/>
                <w:sz w:val="20"/>
                <w:szCs w:val="20"/>
              </w:rPr>
              <w:t>Commerce, réparation d’automobiles et de motocycles</w:t>
            </w:r>
          </w:p>
        </w:tc>
        <w:tc>
          <w:tcPr>
            <w:tcW w:w="1045" w:type="dxa"/>
            <w:tcBorders>
              <w:top w:val="none" w:sz="0" w:space="0" w:color="000000"/>
              <w:left w:val="single" w:sz="4" w:space="0" w:color="000000"/>
              <w:bottom w:val="dashed" w:sz="4" w:space="0" w:color="808080"/>
              <w:right w:val="single" w:sz="4" w:space="0" w:color="000000"/>
            </w:tcBorders>
            <w:shd w:val="clear" w:color="auto" w:fill="auto"/>
            <w:vAlign w:val="center"/>
          </w:tcPr>
          <w:p w:rsidR="00916EA3" w:rsidRPr="005F4B44" w:rsidRDefault="00916EA3" w:rsidP="009014A4">
            <w:pPr>
              <w:jc w:val="center"/>
              <w:rPr>
                <w:rFonts w:ascii="Arial" w:hAnsi="Arial" w:cs="Arial"/>
                <w:color w:val="000000"/>
                <w:sz w:val="20"/>
                <w:szCs w:val="20"/>
              </w:rPr>
            </w:pPr>
            <w:r w:rsidRPr="005F4B44">
              <w:rPr>
                <w:rFonts w:ascii="Arial" w:hAnsi="Arial" w:cs="Arial"/>
                <w:color w:val="000000"/>
                <w:sz w:val="20"/>
                <w:szCs w:val="20"/>
              </w:rPr>
              <w:t>0,9</w:t>
            </w:r>
          </w:p>
        </w:tc>
      </w:tr>
      <w:tr w:rsidR="00916EA3" w:rsidRPr="005F4B44" w:rsidTr="00916EA3">
        <w:trPr>
          <w:trHeight w:val="288"/>
          <w:jc w:val="center"/>
        </w:trPr>
        <w:tc>
          <w:tcPr>
            <w:tcW w:w="5040" w:type="dxa"/>
            <w:tcBorders>
              <w:top w:val="none" w:sz="0" w:space="0" w:color="000000"/>
              <w:left w:val="single" w:sz="4" w:space="0" w:color="000000"/>
              <w:bottom w:val="dashed" w:sz="4" w:space="0" w:color="808080"/>
            </w:tcBorders>
            <w:shd w:val="clear" w:color="auto" w:fill="auto"/>
            <w:vAlign w:val="center"/>
          </w:tcPr>
          <w:p w:rsidR="00916EA3" w:rsidRPr="005F4B44" w:rsidRDefault="00916EA3" w:rsidP="00916EA3">
            <w:pPr>
              <w:rPr>
                <w:rFonts w:ascii="Arial" w:hAnsi="Arial" w:cs="Arial"/>
                <w:color w:val="000000"/>
                <w:sz w:val="20"/>
                <w:szCs w:val="20"/>
              </w:rPr>
            </w:pPr>
            <w:r w:rsidRPr="005F4B44">
              <w:rPr>
                <w:rFonts w:ascii="Arial" w:hAnsi="Arial" w:cs="Arial"/>
                <w:color w:val="000000"/>
                <w:sz w:val="20"/>
                <w:szCs w:val="20"/>
              </w:rPr>
              <w:t xml:space="preserve">Transports et entreposage </w:t>
            </w:r>
          </w:p>
        </w:tc>
        <w:tc>
          <w:tcPr>
            <w:tcW w:w="1045" w:type="dxa"/>
            <w:tcBorders>
              <w:top w:val="none" w:sz="0" w:space="0" w:color="000000"/>
              <w:left w:val="single" w:sz="4" w:space="0" w:color="000000"/>
              <w:bottom w:val="dashed" w:sz="4" w:space="0" w:color="808080"/>
              <w:right w:val="single" w:sz="4" w:space="0" w:color="000000"/>
            </w:tcBorders>
            <w:shd w:val="clear" w:color="auto" w:fill="auto"/>
            <w:vAlign w:val="center"/>
          </w:tcPr>
          <w:p w:rsidR="00916EA3" w:rsidRPr="005F4B44" w:rsidRDefault="00916EA3" w:rsidP="009014A4">
            <w:pPr>
              <w:jc w:val="center"/>
              <w:rPr>
                <w:rFonts w:ascii="Arial" w:hAnsi="Arial" w:cs="Arial"/>
                <w:color w:val="000000"/>
                <w:sz w:val="20"/>
                <w:szCs w:val="20"/>
              </w:rPr>
            </w:pPr>
            <w:r w:rsidRPr="005F4B44">
              <w:rPr>
                <w:rFonts w:ascii="Arial" w:hAnsi="Arial" w:cs="Arial"/>
                <w:color w:val="000000"/>
                <w:sz w:val="20"/>
                <w:szCs w:val="20"/>
              </w:rPr>
              <w:t>1,6</w:t>
            </w:r>
          </w:p>
        </w:tc>
      </w:tr>
      <w:tr w:rsidR="00916EA3" w:rsidRPr="005F4B44" w:rsidTr="00916EA3">
        <w:trPr>
          <w:trHeight w:val="288"/>
          <w:jc w:val="center"/>
        </w:trPr>
        <w:tc>
          <w:tcPr>
            <w:tcW w:w="5040" w:type="dxa"/>
            <w:tcBorders>
              <w:top w:val="none" w:sz="0" w:space="0" w:color="000000"/>
              <w:left w:val="single" w:sz="4" w:space="0" w:color="000000"/>
              <w:bottom w:val="dashed" w:sz="4" w:space="0" w:color="808080"/>
            </w:tcBorders>
            <w:shd w:val="clear" w:color="auto" w:fill="auto"/>
            <w:vAlign w:val="center"/>
          </w:tcPr>
          <w:p w:rsidR="00916EA3" w:rsidRPr="005F4B44" w:rsidRDefault="00916EA3" w:rsidP="00916EA3">
            <w:pPr>
              <w:rPr>
                <w:rFonts w:ascii="Arial" w:hAnsi="Arial" w:cs="Arial"/>
                <w:i/>
                <w:iCs/>
                <w:color w:val="000000"/>
                <w:sz w:val="20"/>
                <w:szCs w:val="20"/>
              </w:rPr>
            </w:pPr>
            <w:r w:rsidRPr="005F4B44">
              <w:rPr>
                <w:rFonts w:ascii="Arial" w:hAnsi="Arial" w:cs="Arial"/>
                <w:color w:val="000000"/>
                <w:sz w:val="20"/>
                <w:szCs w:val="20"/>
              </w:rPr>
              <w:t>Hébergement et restauration</w:t>
            </w:r>
          </w:p>
        </w:tc>
        <w:tc>
          <w:tcPr>
            <w:tcW w:w="1045" w:type="dxa"/>
            <w:tcBorders>
              <w:top w:val="none" w:sz="0" w:space="0" w:color="000000"/>
              <w:left w:val="single" w:sz="4" w:space="0" w:color="000000"/>
              <w:bottom w:val="dashed" w:sz="4" w:space="0" w:color="808080"/>
              <w:right w:val="single" w:sz="4" w:space="0" w:color="000000"/>
            </w:tcBorders>
            <w:shd w:val="clear" w:color="auto" w:fill="auto"/>
            <w:vAlign w:val="center"/>
          </w:tcPr>
          <w:p w:rsidR="00916EA3" w:rsidRPr="005F4B44" w:rsidRDefault="00916EA3" w:rsidP="009014A4">
            <w:pPr>
              <w:jc w:val="center"/>
              <w:rPr>
                <w:rFonts w:ascii="Arial" w:hAnsi="Arial" w:cs="Arial"/>
                <w:color w:val="000000"/>
                <w:sz w:val="20"/>
                <w:szCs w:val="20"/>
              </w:rPr>
            </w:pPr>
            <w:r w:rsidRPr="005F4B44">
              <w:rPr>
                <w:rFonts w:ascii="Arial" w:hAnsi="Arial" w:cs="Arial"/>
                <w:color w:val="000000"/>
                <w:sz w:val="20"/>
                <w:szCs w:val="20"/>
              </w:rPr>
              <w:t>1,7</w:t>
            </w:r>
          </w:p>
        </w:tc>
      </w:tr>
      <w:tr w:rsidR="00916EA3" w:rsidRPr="005F4B44" w:rsidTr="00916EA3">
        <w:trPr>
          <w:trHeight w:val="288"/>
          <w:jc w:val="center"/>
        </w:trPr>
        <w:tc>
          <w:tcPr>
            <w:tcW w:w="5040" w:type="dxa"/>
            <w:tcBorders>
              <w:top w:val="none" w:sz="0" w:space="0" w:color="000000"/>
              <w:left w:val="single" w:sz="4" w:space="0" w:color="000000"/>
              <w:bottom w:val="dashed" w:sz="4" w:space="0" w:color="808080"/>
            </w:tcBorders>
            <w:shd w:val="clear" w:color="auto" w:fill="auto"/>
            <w:vAlign w:val="center"/>
          </w:tcPr>
          <w:p w:rsidR="00916EA3" w:rsidRPr="005F4B44" w:rsidRDefault="00916EA3" w:rsidP="00916EA3">
            <w:pPr>
              <w:rPr>
                <w:rFonts w:ascii="Arial" w:hAnsi="Arial" w:cs="Arial"/>
                <w:color w:val="000000"/>
                <w:sz w:val="20"/>
                <w:szCs w:val="20"/>
              </w:rPr>
            </w:pPr>
            <w:r w:rsidRPr="005F4B44">
              <w:rPr>
                <w:rFonts w:ascii="Arial" w:hAnsi="Arial" w:cs="Arial"/>
                <w:color w:val="000000"/>
                <w:sz w:val="20"/>
                <w:szCs w:val="20"/>
              </w:rPr>
              <w:t>Information et communication</w:t>
            </w:r>
          </w:p>
        </w:tc>
        <w:tc>
          <w:tcPr>
            <w:tcW w:w="1045" w:type="dxa"/>
            <w:tcBorders>
              <w:top w:val="none" w:sz="0" w:space="0" w:color="000000"/>
              <w:left w:val="single" w:sz="4" w:space="0" w:color="000000"/>
              <w:bottom w:val="dashed" w:sz="4" w:space="0" w:color="808080"/>
              <w:right w:val="single" w:sz="4" w:space="0" w:color="000000"/>
            </w:tcBorders>
            <w:shd w:val="clear" w:color="auto" w:fill="auto"/>
            <w:vAlign w:val="center"/>
          </w:tcPr>
          <w:p w:rsidR="00916EA3" w:rsidRPr="005F4B44" w:rsidRDefault="00916EA3" w:rsidP="009014A4">
            <w:pPr>
              <w:jc w:val="center"/>
              <w:rPr>
                <w:rFonts w:ascii="Arial" w:hAnsi="Arial" w:cs="Arial"/>
                <w:color w:val="000000"/>
                <w:sz w:val="20"/>
                <w:szCs w:val="20"/>
              </w:rPr>
            </w:pPr>
            <w:r w:rsidRPr="005F4B44">
              <w:rPr>
                <w:rFonts w:ascii="Arial" w:hAnsi="Arial" w:cs="Arial"/>
                <w:color w:val="000000"/>
                <w:sz w:val="20"/>
                <w:szCs w:val="20"/>
              </w:rPr>
              <w:t>1,5</w:t>
            </w:r>
          </w:p>
        </w:tc>
      </w:tr>
      <w:tr w:rsidR="00916EA3" w:rsidRPr="005F4B44" w:rsidTr="00916EA3">
        <w:trPr>
          <w:trHeight w:val="288"/>
          <w:jc w:val="center"/>
        </w:trPr>
        <w:tc>
          <w:tcPr>
            <w:tcW w:w="5040" w:type="dxa"/>
            <w:tcBorders>
              <w:top w:val="none" w:sz="0" w:space="0" w:color="000000"/>
              <w:left w:val="single" w:sz="4" w:space="0" w:color="000000"/>
              <w:bottom w:val="dashed" w:sz="4" w:space="0" w:color="808080"/>
            </w:tcBorders>
            <w:shd w:val="clear" w:color="auto" w:fill="auto"/>
            <w:vAlign w:val="center"/>
          </w:tcPr>
          <w:p w:rsidR="00916EA3" w:rsidRPr="005F4B44" w:rsidRDefault="00916EA3" w:rsidP="00916EA3">
            <w:pPr>
              <w:rPr>
                <w:rFonts w:ascii="Arial" w:hAnsi="Arial" w:cs="Arial"/>
                <w:color w:val="000000"/>
                <w:sz w:val="20"/>
                <w:szCs w:val="20"/>
              </w:rPr>
            </w:pPr>
            <w:r w:rsidRPr="005F4B44">
              <w:rPr>
                <w:rFonts w:ascii="Arial" w:hAnsi="Arial" w:cs="Arial"/>
                <w:color w:val="000000"/>
                <w:sz w:val="20"/>
                <w:szCs w:val="20"/>
              </w:rPr>
              <w:t>Activités immobilières</w:t>
            </w:r>
          </w:p>
        </w:tc>
        <w:tc>
          <w:tcPr>
            <w:tcW w:w="1045" w:type="dxa"/>
            <w:tcBorders>
              <w:top w:val="dashed" w:sz="4" w:space="0" w:color="808080"/>
              <w:left w:val="single" w:sz="4" w:space="0" w:color="000000"/>
              <w:bottom w:val="dashed" w:sz="4" w:space="0" w:color="808080"/>
              <w:right w:val="single" w:sz="4" w:space="0" w:color="000000"/>
            </w:tcBorders>
            <w:shd w:val="clear" w:color="auto" w:fill="auto"/>
            <w:vAlign w:val="center"/>
          </w:tcPr>
          <w:p w:rsidR="00916EA3" w:rsidRPr="005F4B44" w:rsidRDefault="00916EA3" w:rsidP="009014A4">
            <w:pPr>
              <w:jc w:val="center"/>
              <w:rPr>
                <w:rFonts w:ascii="Arial" w:hAnsi="Arial" w:cs="Arial"/>
                <w:color w:val="000000"/>
                <w:sz w:val="20"/>
                <w:szCs w:val="20"/>
              </w:rPr>
            </w:pPr>
            <w:r w:rsidRPr="005F4B44">
              <w:rPr>
                <w:rFonts w:ascii="Arial" w:hAnsi="Arial" w:cs="Arial"/>
                <w:color w:val="000000"/>
                <w:sz w:val="20"/>
                <w:szCs w:val="20"/>
              </w:rPr>
              <w:t>2,4</w:t>
            </w:r>
          </w:p>
        </w:tc>
      </w:tr>
      <w:tr w:rsidR="00916EA3" w:rsidRPr="005F4B44" w:rsidTr="00916EA3">
        <w:trPr>
          <w:trHeight w:val="576"/>
          <w:jc w:val="center"/>
        </w:trPr>
        <w:tc>
          <w:tcPr>
            <w:tcW w:w="5040" w:type="dxa"/>
            <w:tcBorders>
              <w:top w:val="none" w:sz="0" w:space="0" w:color="000000"/>
              <w:left w:val="single" w:sz="4" w:space="0" w:color="000000"/>
              <w:bottom w:val="dashed" w:sz="4" w:space="0" w:color="808080"/>
            </w:tcBorders>
            <w:shd w:val="clear" w:color="auto" w:fill="auto"/>
            <w:vAlign w:val="center"/>
          </w:tcPr>
          <w:p w:rsidR="00916EA3" w:rsidRPr="005F4B44" w:rsidRDefault="00916EA3" w:rsidP="00916EA3">
            <w:pPr>
              <w:rPr>
                <w:rFonts w:ascii="Arial" w:hAnsi="Arial" w:cs="Arial"/>
                <w:color w:val="000000"/>
                <w:sz w:val="20"/>
                <w:szCs w:val="20"/>
              </w:rPr>
            </w:pPr>
            <w:r w:rsidRPr="005F4B44">
              <w:rPr>
                <w:rFonts w:ascii="Arial" w:hAnsi="Arial" w:cs="Arial"/>
                <w:color w:val="000000"/>
                <w:sz w:val="20"/>
                <w:szCs w:val="20"/>
              </w:rPr>
              <w:t>Activités spécialisées, scientifiques et techniques et activités de services administratifs et de soutien</w:t>
            </w:r>
          </w:p>
        </w:tc>
        <w:tc>
          <w:tcPr>
            <w:tcW w:w="1045" w:type="dxa"/>
            <w:tcBorders>
              <w:top w:val="dashed" w:sz="4" w:space="0" w:color="808080"/>
              <w:left w:val="single" w:sz="4" w:space="0" w:color="000000"/>
              <w:bottom w:val="dashed" w:sz="4" w:space="0" w:color="808080"/>
              <w:right w:val="single" w:sz="4" w:space="0" w:color="000000"/>
            </w:tcBorders>
            <w:shd w:val="clear" w:color="auto" w:fill="auto"/>
            <w:vAlign w:val="center"/>
          </w:tcPr>
          <w:p w:rsidR="00916EA3" w:rsidRPr="005F4B44" w:rsidRDefault="00916EA3" w:rsidP="009014A4">
            <w:pPr>
              <w:jc w:val="center"/>
              <w:rPr>
                <w:rFonts w:ascii="Arial" w:hAnsi="Arial" w:cs="Arial"/>
                <w:i/>
                <w:iCs/>
                <w:color w:val="000000"/>
                <w:sz w:val="20"/>
                <w:szCs w:val="20"/>
              </w:rPr>
            </w:pPr>
            <w:r w:rsidRPr="005F4B44">
              <w:rPr>
                <w:rFonts w:ascii="Arial" w:hAnsi="Arial" w:cs="Arial"/>
                <w:i/>
                <w:iCs/>
                <w:color w:val="000000"/>
                <w:sz w:val="20"/>
                <w:szCs w:val="20"/>
              </w:rPr>
              <w:t>2,2</w:t>
            </w:r>
          </w:p>
        </w:tc>
      </w:tr>
      <w:tr w:rsidR="00916EA3" w:rsidRPr="005F4B44" w:rsidTr="00916EA3">
        <w:trPr>
          <w:trHeight w:val="576"/>
          <w:jc w:val="center"/>
        </w:trPr>
        <w:tc>
          <w:tcPr>
            <w:tcW w:w="5040" w:type="dxa"/>
            <w:tcBorders>
              <w:top w:val="none" w:sz="0" w:space="0" w:color="000000"/>
              <w:left w:val="single" w:sz="4" w:space="0" w:color="000000"/>
              <w:bottom w:val="dashed" w:sz="4" w:space="0" w:color="808080"/>
            </w:tcBorders>
            <w:shd w:val="clear" w:color="auto" w:fill="auto"/>
            <w:vAlign w:val="center"/>
          </w:tcPr>
          <w:p w:rsidR="00916EA3" w:rsidRPr="005F4B44" w:rsidRDefault="00916EA3" w:rsidP="00916EA3">
            <w:pPr>
              <w:rPr>
                <w:rFonts w:ascii="Arial" w:hAnsi="Arial" w:cs="Arial"/>
                <w:color w:val="000000"/>
                <w:sz w:val="20"/>
                <w:szCs w:val="20"/>
              </w:rPr>
            </w:pPr>
            <w:r w:rsidRPr="005F4B44">
              <w:rPr>
                <w:rFonts w:ascii="Arial" w:hAnsi="Arial" w:cs="Arial"/>
                <w:color w:val="000000"/>
                <w:sz w:val="20"/>
                <w:szCs w:val="20"/>
              </w:rPr>
              <w:t>Administration publique, enseignement, santé humaine et action sociale</w:t>
            </w:r>
          </w:p>
        </w:tc>
        <w:tc>
          <w:tcPr>
            <w:tcW w:w="1045" w:type="dxa"/>
            <w:tcBorders>
              <w:top w:val="none" w:sz="0" w:space="0" w:color="000000"/>
              <w:left w:val="single" w:sz="4" w:space="0" w:color="000000"/>
              <w:bottom w:val="dashed" w:sz="4" w:space="0" w:color="808080"/>
              <w:right w:val="single" w:sz="4" w:space="0" w:color="000000"/>
            </w:tcBorders>
            <w:shd w:val="clear" w:color="auto" w:fill="auto"/>
            <w:vAlign w:val="center"/>
          </w:tcPr>
          <w:p w:rsidR="00916EA3" w:rsidRPr="005F4B44" w:rsidRDefault="00916EA3" w:rsidP="009014A4">
            <w:pPr>
              <w:jc w:val="center"/>
              <w:rPr>
                <w:rFonts w:ascii="Arial" w:hAnsi="Arial" w:cs="Arial"/>
                <w:color w:val="000000"/>
                <w:sz w:val="20"/>
                <w:szCs w:val="20"/>
              </w:rPr>
            </w:pPr>
            <w:r w:rsidRPr="005F4B44">
              <w:rPr>
                <w:rFonts w:ascii="Arial" w:hAnsi="Arial" w:cs="Arial"/>
                <w:color w:val="000000"/>
                <w:sz w:val="20"/>
                <w:szCs w:val="20"/>
              </w:rPr>
              <w:t>1,1</w:t>
            </w:r>
          </w:p>
        </w:tc>
      </w:tr>
      <w:tr w:rsidR="00916EA3" w:rsidRPr="005F4B44" w:rsidTr="00916EA3">
        <w:trPr>
          <w:trHeight w:val="288"/>
          <w:jc w:val="center"/>
        </w:trPr>
        <w:tc>
          <w:tcPr>
            <w:tcW w:w="5040" w:type="dxa"/>
            <w:tcBorders>
              <w:top w:val="none" w:sz="0" w:space="0" w:color="000000"/>
              <w:left w:val="single" w:sz="4" w:space="0" w:color="000000"/>
              <w:bottom w:val="single" w:sz="4" w:space="0" w:color="000000"/>
            </w:tcBorders>
            <w:shd w:val="clear" w:color="auto" w:fill="auto"/>
            <w:vAlign w:val="center"/>
          </w:tcPr>
          <w:p w:rsidR="00916EA3" w:rsidRPr="005F4B44" w:rsidRDefault="00916EA3" w:rsidP="00916EA3">
            <w:pPr>
              <w:rPr>
                <w:rFonts w:ascii="Arial" w:hAnsi="Arial" w:cs="Arial"/>
                <w:color w:val="000000"/>
                <w:sz w:val="20"/>
                <w:szCs w:val="20"/>
              </w:rPr>
            </w:pPr>
            <w:r w:rsidRPr="005F4B44">
              <w:rPr>
                <w:rFonts w:ascii="Arial" w:hAnsi="Arial" w:cs="Arial"/>
                <w:color w:val="000000"/>
                <w:sz w:val="20"/>
                <w:szCs w:val="20"/>
              </w:rPr>
              <w:t>Autres activités de services</w:t>
            </w:r>
          </w:p>
        </w:tc>
        <w:tc>
          <w:tcPr>
            <w:tcW w:w="1045" w:type="dxa"/>
            <w:tcBorders>
              <w:top w:val="none" w:sz="0" w:space="0" w:color="000000"/>
              <w:left w:val="single" w:sz="4" w:space="0" w:color="000000"/>
              <w:bottom w:val="single" w:sz="4" w:space="0" w:color="000000"/>
              <w:right w:val="single" w:sz="4" w:space="0" w:color="000000"/>
            </w:tcBorders>
            <w:shd w:val="clear" w:color="auto" w:fill="auto"/>
            <w:vAlign w:val="center"/>
          </w:tcPr>
          <w:p w:rsidR="00916EA3" w:rsidRPr="005F4B44" w:rsidRDefault="00916EA3" w:rsidP="009014A4">
            <w:pPr>
              <w:jc w:val="center"/>
              <w:rPr>
                <w:rFonts w:ascii="Arial" w:hAnsi="Arial" w:cs="Arial"/>
                <w:color w:val="000000"/>
                <w:sz w:val="20"/>
                <w:szCs w:val="20"/>
              </w:rPr>
            </w:pPr>
            <w:r w:rsidRPr="005F4B44">
              <w:rPr>
                <w:rFonts w:ascii="Arial" w:hAnsi="Arial" w:cs="Arial"/>
                <w:color w:val="000000"/>
                <w:sz w:val="20"/>
                <w:szCs w:val="20"/>
              </w:rPr>
              <w:t>1,1</w:t>
            </w:r>
          </w:p>
        </w:tc>
      </w:tr>
      <w:tr w:rsidR="00916EA3" w:rsidRPr="005F4B44" w:rsidTr="00916EA3">
        <w:trPr>
          <w:trHeight w:val="288"/>
          <w:jc w:val="center"/>
        </w:trPr>
        <w:tc>
          <w:tcPr>
            <w:tcW w:w="5040" w:type="dxa"/>
            <w:tcBorders>
              <w:top w:val="none" w:sz="0" w:space="0" w:color="000000"/>
              <w:left w:val="single" w:sz="4" w:space="0" w:color="000000"/>
              <w:bottom w:val="single" w:sz="4" w:space="0" w:color="000000"/>
            </w:tcBorders>
            <w:shd w:val="clear" w:color="auto" w:fill="auto"/>
            <w:vAlign w:val="center"/>
          </w:tcPr>
          <w:p w:rsidR="00916EA3" w:rsidRPr="005F4B44" w:rsidRDefault="00916EA3" w:rsidP="00916EA3">
            <w:pPr>
              <w:rPr>
                <w:rFonts w:ascii="Arial" w:hAnsi="Arial" w:cs="Arial"/>
                <w:b/>
                <w:bCs/>
                <w:color w:val="000000"/>
                <w:sz w:val="20"/>
                <w:szCs w:val="20"/>
              </w:rPr>
            </w:pPr>
            <w:r w:rsidRPr="005F4B44">
              <w:rPr>
                <w:rFonts w:ascii="Arial" w:hAnsi="Arial" w:cs="Arial"/>
                <w:b/>
                <w:bCs/>
                <w:color w:val="000000"/>
                <w:sz w:val="20"/>
                <w:szCs w:val="20"/>
              </w:rPr>
              <w:t>Entreprises de 50 salariés ou plus</w:t>
            </w:r>
          </w:p>
        </w:tc>
        <w:tc>
          <w:tcPr>
            <w:tcW w:w="1045" w:type="dxa"/>
            <w:tcBorders>
              <w:top w:val="none" w:sz="0" w:space="0" w:color="000000"/>
              <w:left w:val="single" w:sz="4" w:space="0" w:color="000000"/>
              <w:bottom w:val="single" w:sz="4" w:space="0" w:color="000000"/>
              <w:right w:val="single" w:sz="4" w:space="0" w:color="000000"/>
            </w:tcBorders>
            <w:shd w:val="clear" w:color="auto" w:fill="auto"/>
            <w:vAlign w:val="center"/>
          </w:tcPr>
          <w:p w:rsidR="00916EA3" w:rsidRPr="005F4B44" w:rsidRDefault="00916EA3" w:rsidP="009014A4">
            <w:pPr>
              <w:jc w:val="center"/>
              <w:rPr>
                <w:rFonts w:ascii="Arial" w:hAnsi="Arial" w:cs="Arial"/>
                <w:b/>
                <w:bCs/>
                <w:color w:val="000000"/>
                <w:sz w:val="20"/>
                <w:szCs w:val="20"/>
              </w:rPr>
            </w:pPr>
            <w:r w:rsidRPr="005F4B44">
              <w:rPr>
                <w:rFonts w:ascii="Arial" w:hAnsi="Arial" w:cs="Arial"/>
                <w:b/>
                <w:bCs/>
                <w:color w:val="000000"/>
                <w:sz w:val="20"/>
                <w:szCs w:val="20"/>
              </w:rPr>
              <w:t>1,2</w:t>
            </w:r>
          </w:p>
        </w:tc>
      </w:tr>
    </w:tbl>
    <w:p w:rsidR="00916EA3" w:rsidRPr="00B7240C" w:rsidRDefault="00916EA3" w:rsidP="009014A4">
      <w:pPr>
        <w:autoSpaceDE w:val="0"/>
        <w:spacing w:after="0" w:line="240" w:lineRule="auto"/>
        <w:ind w:left="1560"/>
        <w:rPr>
          <w:rFonts w:ascii="Arial" w:hAnsi="Arial" w:cs="Arial"/>
          <w:bCs/>
          <w:i/>
          <w:sz w:val="18"/>
          <w:szCs w:val="18"/>
          <w:u w:val="single"/>
        </w:rPr>
      </w:pPr>
      <w:r w:rsidRPr="00B7240C">
        <w:rPr>
          <w:rFonts w:ascii="Arial" w:hAnsi="Arial" w:cs="Arial"/>
          <w:bCs/>
          <w:i/>
          <w:sz w:val="18"/>
          <w:szCs w:val="18"/>
          <w:u w:val="single"/>
        </w:rPr>
        <w:t>Champ :</w:t>
      </w:r>
      <w:r w:rsidRPr="00B7240C">
        <w:rPr>
          <w:rFonts w:ascii="Arial" w:hAnsi="Arial" w:cs="Arial"/>
          <w:bCs/>
          <w:i/>
          <w:sz w:val="18"/>
          <w:szCs w:val="18"/>
        </w:rPr>
        <w:t xml:space="preserve"> entreprises privées de 50 salariés ou plus, hors secteurs agricole et financier.</w:t>
      </w:r>
    </w:p>
    <w:p w:rsidR="00916EA3" w:rsidRPr="00B7240C" w:rsidRDefault="00916EA3" w:rsidP="009014A4">
      <w:pPr>
        <w:autoSpaceDE w:val="0"/>
        <w:spacing w:after="0" w:line="240" w:lineRule="auto"/>
        <w:ind w:left="1560"/>
        <w:rPr>
          <w:rFonts w:ascii="Arial" w:hAnsi="Arial" w:cs="Arial"/>
          <w:bCs/>
          <w:i/>
          <w:sz w:val="18"/>
          <w:szCs w:val="18"/>
          <w:u w:val="single"/>
        </w:rPr>
      </w:pPr>
      <w:r w:rsidRPr="00B7240C">
        <w:rPr>
          <w:rFonts w:ascii="Arial" w:hAnsi="Arial" w:cs="Arial"/>
          <w:bCs/>
          <w:i/>
          <w:sz w:val="18"/>
          <w:szCs w:val="18"/>
          <w:u w:val="single"/>
        </w:rPr>
        <w:t xml:space="preserve">Source : </w:t>
      </w:r>
      <w:r w:rsidRPr="00B7240C">
        <w:rPr>
          <w:rFonts w:ascii="Arial" w:hAnsi="Arial" w:cs="Arial"/>
          <w:bCs/>
          <w:i/>
          <w:sz w:val="18"/>
          <w:szCs w:val="18"/>
        </w:rPr>
        <w:t>Insee - fichier Fare 2015, calculs Dares.</w:t>
      </w:r>
    </w:p>
    <w:p w:rsidR="00042414" w:rsidRDefault="00042414" w:rsidP="00916EA3">
      <w:pPr>
        <w:autoSpaceDE w:val="0"/>
        <w:jc w:val="both"/>
        <w:rPr>
          <w:rFonts w:ascii="Arial" w:hAnsi="Arial" w:cs="Arial"/>
          <w:b/>
          <w:bCs/>
          <w:sz w:val="20"/>
          <w:szCs w:val="20"/>
          <w:u w:val="single"/>
        </w:rPr>
      </w:pPr>
    </w:p>
    <w:p w:rsidR="00F85D64" w:rsidRDefault="00F85D64" w:rsidP="00916EA3">
      <w:pPr>
        <w:autoSpaceDE w:val="0"/>
        <w:jc w:val="both"/>
        <w:rPr>
          <w:rFonts w:ascii="Arial" w:hAnsi="Arial" w:cs="Arial"/>
          <w:b/>
          <w:bCs/>
          <w:sz w:val="20"/>
          <w:szCs w:val="20"/>
          <w:u w:val="single"/>
        </w:rPr>
      </w:pPr>
    </w:p>
    <w:p w:rsidR="00916EA3" w:rsidRPr="00B7240C" w:rsidRDefault="00916EA3" w:rsidP="00916EA3">
      <w:pPr>
        <w:autoSpaceDE w:val="0"/>
        <w:jc w:val="both"/>
        <w:rPr>
          <w:rFonts w:ascii="Arial" w:hAnsi="Arial" w:cs="Arial"/>
          <w:b/>
          <w:bCs/>
          <w:sz w:val="20"/>
          <w:szCs w:val="20"/>
          <w:u w:val="single"/>
        </w:rPr>
      </w:pPr>
      <w:r w:rsidRPr="00B7240C">
        <w:rPr>
          <w:rFonts w:ascii="Arial" w:hAnsi="Arial" w:cs="Arial"/>
          <w:b/>
          <w:bCs/>
          <w:sz w:val="20"/>
          <w:szCs w:val="20"/>
          <w:u w:val="single"/>
        </w:rPr>
        <w:lastRenderedPageBreak/>
        <w:t>L</w:t>
      </w:r>
      <w:r>
        <w:rPr>
          <w:rFonts w:ascii="Arial" w:hAnsi="Arial" w:cs="Arial"/>
          <w:b/>
          <w:bCs/>
          <w:sz w:val="20"/>
          <w:szCs w:val="20"/>
          <w:u w:val="single"/>
        </w:rPr>
        <w:t>es montants de participation estimés selon la nouvelle formule sont stables pour</w:t>
      </w:r>
      <w:r w:rsidRPr="00B7240C">
        <w:rPr>
          <w:rFonts w:ascii="Arial" w:hAnsi="Arial" w:cs="Arial"/>
          <w:b/>
          <w:bCs/>
          <w:sz w:val="20"/>
          <w:szCs w:val="20"/>
          <w:u w:val="single"/>
        </w:rPr>
        <w:t xml:space="preserve"> </w:t>
      </w:r>
      <w:r>
        <w:rPr>
          <w:rFonts w:ascii="Arial" w:hAnsi="Arial" w:cs="Arial"/>
          <w:b/>
          <w:bCs/>
          <w:sz w:val="20"/>
          <w:szCs w:val="20"/>
          <w:u w:val="single"/>
        </w:rPr>
        <w:t>40 % des entreprises de 50 salariés ou plus</w:t>
      </w:r>
    </w:p>
    <w:p w:rsidR="00916EA3" w:rsidRDefault="00916EA3" w:rsidP="00916EA3">
      <w:pPr>
        <w:autoSpaceDE w:val="0"/>
        <w:jc w:val="both"/>
        <w:rPr>
          <w:rFonts w:ascii="Arial" w:hAnsi="Arial" w:cs="Arial"/>
          <w:bCs/>
          <w:sz w:val="20"/>
          <w:szCs w:val="20"/>
        </w:rPr>
      </w:pPr>
      <w:r>
        <w:rPr>
          <w:rFonts w:ascii="Arial" w:hAnsi="Arial" w:cs="Arial"/>
          <w:bCs/>
          <w:sz w:val="20"/>
          <w:szCs w:val="20"/>
        </w:rPr>
        <w:t>D</w:t>
      </w:r>
      <w:r w:rsidRPr="00F733EA">
        <w:rPr>
          <w:rFonts w:ascii="Arial" w:hAnsi="Arial" w:cs="Arial"/>
          <w:bCs/>
          <w:sz w:val="20"/>
          <w:szCs w:val="20"/>
        </w:rPr>
        <w:t xml:space="preserve">ans les entreprises </w:t>
      </w:r>
      <w:r>
        <w:rPr>
          <w:rFonts w:ascii="Arial" w:hAnsi="Arial" w:cs="Arial"/>
          <w:bCs/>
          <w:sz w:val="20"/>
          <w:szCs w:val="20"/>
        </w:rPr>
        <w:t xml:space="preserve">de 50 salariés ou plus </w:t>
      </w:r>
      <w:r w:rsidRPr="00F733EA">
        <w:rPr>
          <w:rFonts w:ascii="Arial" w:hAnsi="Arial" w:cs="Arial"/>
          <w:bCs/>
          <w:sz w:val="20"/>
          <w:szCs w:val="20"/>
        </w:rPr>
        <w:t>versant entre 21 100€ et 33 600€ de rémunération annuelle moyenne par salarié</w:t>
      </w:r>
      <w:r>
        <w:rPr>
          <w:rFonts w:ascii="Arial" w:hAnsi="Arial" w:cs="Arial"/>
          <w:bCs/>
          <w:sz w:val="20"/>
          <w:szCs w:val="20"/>
        </w:rPr>
        <w:t>, l</w:t>
      </w:r>
      <w:r w:rsidRPr="00F733EA">
        <w:rPr>
          <w:rFonts w:ascii="Arial" w:hAnsi="Arial" w:cs="Arial"/>
          <w:bCs/>
          <w:sz w:val="20"/>
          <w:szCs w:val="20"/>
        </w:rPr>
        <w:t>es montants de</w:t>
      </w:r>
      <w:r>
        <w:rPr>
          <w:rFonts w:ascii="Arial" w:hAnsi="Arial" w:cs="Arial"/>
          <w:bCs/>
          <w:sz w:val="20"/>
          <w:szCs w:val="20"/>
        </w:rPr>
        <w:t xml:space="preserve"> participation estimés avec la </w:t>
      </w:r>
      <w:r w:rsidRPr="00F733EA">
        <w:rPr>
          <w:rFonts w:ascii="Arial" w:hAnsi="Arial" w:cs="Arial"/>
          <w:bCs/>
          <w:sz w:val="20"/>
          <w:szCs w:val="20"/>
        </w:rPr>
        <w:t>formule</w:t>
      </w:r>
      <w:r>
        <w:rPr>
          <w:rFonts w:ascii="Arial" w:hAnsi="Arial" w:cs="Arial"/>
          <w:bCs/>
          <w:sz w:val="20"/>
          <w:szCs w:val="20"/>
        </w:rPr>
        <w:t xml:space="preserve"> 10%*BC</w:t>
      </w:r>
      <w:r w:rsidRPr="00F733EA">
        <w:rPr>
          <w:rFonts w:ascii="Arial" w:hAnsi="Arial" w:cs="Arial"/>
          <w:bCs/>
          <w:sz w:val="20"/>
          <w:szCs w:val="20"/>
        </w:rPr>
        <w:t xml:space="preserve"> sont stables</w:t>
      </w:r>
      <w:r>
        <w:rPr>
          <w:rFonts w:ascii="Arial" w:hAnsi="Arial" w:cs="Arial"/>
          <w:bCs/>
          <w:sz w:val="20"/>
          <w:szCs w:val="20"/>
        </w:rPr>
        <w:t xml:space="preserve"> par rapport aux montants issus des liasses fiscales.</w:t>
      </w:r>
    </w:p>
    <w:p w:rsidR="00916EA3" w:rsidRDefault="00916EA3" w:rsidP="00916EA3">
      <w:pPr>
        <w:autoSpaceDE w:val="0"/>
        <w:jc w:val="both"/>
        <w:rPr>
          <w:rFonts w:ascii="Arial" w:hAnsi="Arial" w:cs="Arial"/>
          <w:bCs/>
          <w:sz w:val="20"/>
          <w:szCs w:val="20"/>
        </w:rPr>
      </w:pPr>
      <w:r>
        <w:rPr>
          <w:rFonts w:ascii="Arial" w:hAnsi="Arial" w:cs="Arial"/>
          <w:bCs/>
          <w:sz w:val="20"/>
          <w:szCs w:val="20"/>
        </w:rPr>
        <w:t>Ils</w:t>
      </w:r>
      <w:r w:rsidRPr="00B7240C">
        <w:rPr>
          <w:rFonts w:ascii="Arial" w:hAnsi="Arial" w:cs="Arial"/>
          <w:bCs/>
          <w:sz w:val="20"/>
          <w:szCs w:val="20"/>
        </w:rPr>
        <w:t xml:space="preserve"> </w:t>
      </w:r>
      <w:r>
        <w:rPr>
          <w:rFonts w:ascii="Arial" w:hAnsi="Arial" w:cs="Arial"/>
          <w:bCs/>
          <w:sz w:val="20"/>
          <w:szCs w:val="20"/>
        </w:rPr>
        <w:t xml:space="preserve">sont multipliés par 1,3 </w:t>
      </w:r>
      <w:r w:rsidRPr="00B7240C">
        <w:rPr>
          <w:rFonts w:ascii="Arial" w:hAnsi="Arial" w:cs="Arial"/>
          <w:bCs/>
          <w:sz w:val="20"/>
          <w:szCs w:val="20"/>
        </w:rPr>
        <w:t xml:space="preserve">dans les 30 % d’entreprises de 50 salariés ou plus proposant les rémunérations annuelles moyennes les plus </w:t>
      </w:r>
      <w:r>
        <w:rPr>
          <w:rFonts w:ascii="Arial" w:hAnsi="Arial" w:cs="Arial"/>
          <w:bCs/>
          <w:sz w:val="20"/>
          <w:szCs w:val="20"/>
        </w:rPr>
        <w:t>élevée</w:t>
      </w:r>
      <w:r w:rsidRPr="00B7240C">
        <w:rPr>
          <w:rFonts w:ascii="Arial" w:hAnsi="Arial" w:cs="Arial"/>
          <w:bCs/>
          <w:sz w:val="20"/>
          <w:szCs w:val="20"/>
        </w:rPr>
        <w:t>s </w:t>
      </w:r>
      <w:r>
        <w:rPr>
          <w:rFonts w:ascii="Arial" w:hAnsi="Arial" w:cs="Arial"/>
          <w:bCs/>
          <w:sz w:val="20"/>
          <w:szCs w:val="20"/>
        </w:rPr>
        <w:t xml:space="preserve">et par 1,2 dans les </w:t>
      </w:r>
      <w:r w:rsidRPr="00B7240C">
        <w:rPr>
          <w:rFonts w:ascii="Arial" w:hAnsi="Arial" w:cs="Arial"/>
          <w:bCs/>
          <w:sz w:val="20"/>
          <w:szCs w:val="20"/>
        </w:rPr>
        <w:t xml:space="preserve">30 % d’entreprises de 50 salariés ou plus proposant les rémunérations annuelles moyennes les plus </w:t>
      </w:r>
      <w:r>
        <w:rPr>
          <w:rFonts w:ascii="Arial" w:hAnsi="Arial" w:cs="Arial"/>
          <w:bCs/>
          <w:sz w:val="20"/>
          <w:szCs w:val="20"/>
        </w:rPr>
        <w:t>faibles (tableau 4).</w:t>
      </w:r>
    </w:p>
    <w:p w:rsidR="00916EA3" w:rsidRPr="00B7240C" w:rsidRDefault="00916EA3" w:rsidP="00916EA3">
      <w:pPr>
        <w:autoSpaceDE w:val="0"/>
        <w:jc w:val="both"/>
        <w:rPr>
          <w:rFonts w:ascii="Arial" w:hAnsi="Arial" w:cs="Arial"/>
          <w:bCs/>
          <w:sz w:val="20"/>
          <w:szCs w:val="20"/>
        </w:rPr>
      </w:pPr>
      <w:r w:rsidRPr="00B7240C">
        <w:rPr>
          <w:rFonts w:ascii="Arial" w:hAnsi="Arial" w:cs="Arial"/>
          <w:bCs/>
          <w:sz w:val="20"/>
          <w:szCs w:val="20"/>
        </w:rPr>
        <w:t>Au sein des</w:t>
      </w:r>
      <w:r>
        <w:rPr>
          <w:rFonts w:ascii="Arial" w:hAnsi="Arial" w:cs="Arial"/>
          <w:bCs/>
          <w:sz w:val="20"/>
          <w:szCs w:val="20"/>
        </w:rPr>
        <w:t xml:space="preserve"> </w:t>
      </w:r>
      <w:r w:rsidRPr="00B7240C">
        <w:rPr>
          <w:rFonts w:ascii="Arial" w:hAnsi="Arial" w:cs="Arial"/>
          <w:bCs/>
          <w:sz w:val="20"/>
          <w:szCs w:val="20"/>
        </w:rPr>
        <w:t xml:space="preserve">30 % d’entreprises de 50 salariés ou plus proposant les rémunérations annuelles moyennes les plus </w:t>
      </w:r>
      <w:r>
        <w:rPr>
          <w:rFonts w:ascii="Arial" w:hAnsi="Arial" w:cs="Arial"/>
          <w:bCs/>
          <w:sz w:val="20"/>
          <w:szCs w:val="20"/>
        </w:rPr>
        <w:t>élevée</w:t>
      </w:r>
      <w:r w:rsidRPr="00B7240C">
        <w:rPr>
          <w:rFonts w:ascii="Arial" w:hAnsi="Arial" w:cs="Arial"/>
          <w:bCs/>
          <w:sz w:val="20"/>
          <w:szCs w:val="20"/>
        </w:rPr>
        <w:t xml:space="preserve">s, la proportion d’entreprises versant de la participation progresse </w:t>
      </w:r>
      <w:r>
        <w:rPr>
          <w:rFonts w:ascii="Arial" w:hAnsi="Arial" w:cs="Arial"/>
          <w:bCs/>
          <w:sz w:val="20"/>
          <w:szCs w:val="20"/>
        </w:rPr>
        <w:t>moins que la moyenne (+ 23</w:t>
      </w:r>
      <w:r w:rsidRPr="00B7240C">
        <w:rPr>
          <w:rFonts w:ascii="Arial" w:hAnsi="Arial" w:cs="Arial"/>
          <w:bCs/>
          <w:sz w:val="20"/>
          <w:szCs w:val="20"/>
        </w:rPr>
        <w:t xml:space="preserve"> points, contre </w:t>
      </w:r>
      <w:r>
        <w:rPr>
          <w:rFonts w:ascii="Arial" w:hAnsi="Arial" w:cs="Arial"/>
          <w:bCs/>
          <w:sz w:val="20"/>
          <w:szCs w:val="20"/>
        </w:rPr>
        <w:t>+ 29</w:t>
      </w:r>
      <w:r w:rsidRPr="00B7240C">
        <w:rPr>
          <w:rFonts w:ascii="Arial" w:hAnsi="Arial" w:cs="Arial"/>
          <w:bCs/>
          <w:sz w:val="20"/>
          <w:szCs w:val="20"/>
        </w:rPr>
        <w:t xml:space="preserve"> points en moyenne</w:t>
      </w:r>
      <w:r>
        <w:rPr>
          <w:rFonts w:ascii="Arial" w:hAnsi="Arial" w:cs="Arial"/>
          <w:bCs/>
          <w:sz w:val="20"/>
          <w:szCs w:val="20"/>
        </w:rPr>
        <w:t xml:space="preserve">) alors que dans les </w:t>
      </w:r>
      <w:r w:rsidRPr="00B7240C">
        <w:rPr>
          <w:rFonts w:ascii="Arial" w:hAnsi="Arial" w:cs="Arial"/>
          <w:bCs/>
          <w:sz w:val="20"/>
          <w:szCs w:val="20"/>
        </w:rPr>
        <w:t xml:space="preserve">30 % d’entreprises de 50 salariés ou plus proposant les rémunérations annuelles moyennes les plus </w:t>
      </w:r>
      <w:r>
        <w:rPr>
          <w:rFonts w:ascii="Arial" w:hAnsi="Arial" w:cs="Arial"/>
          <w:bCs/>
          <w:sz w:val="20"/>
          <w:szCs w:val="20"/>
        </w:rPr>
        <w:t xml:space="preserve">faibles, la </w:t>
      </w:r>
      <w:r w:rsidRPr="00B7240C">
        <w:rPr>
          <w:rFonts w:ascii="Arial" w:hAnsi="Arial" w:cs="Arial"/>
          <w:bCs/>
          <w:sz w:val="20"/>
          <w:szCs w:val="20"/>
        </w:rPr>
        <w:t xml:space="preserve">proportion d’entreprises versant de la participation progresse </w:t>
      </w:r>
      <w:r>
        <w:rPr>
          <w:rFonts w:ascii="Arial" w:hAnsi="Arial" w:cs="Arial"/>
          <w:bCs/>
          <w:sz w:val="20"/>
          <w:szCs w:val="20"/>
        </w:rPr>
        <w:t>plus que la moyenne (+ 37</w:t>
      </w:r>
      <w:r w:rsidRPr="00B7240C">
        <w:rPr>
          <w:rFonts w:ascii="Arial" w:hAnsi="Arial" w:cs="Arial"/>
          <w:bCs/>
          <w:sz w:val="20"/>
          <w:szCs w:val="20"/>
        </w:rPr>
        <w:t xml:space="preserve"> points</w:t>
      </w:r>
      <w:r>
        <w:rPr>
          <w:rFonts w:ascii="Arial" w:hAnsi="Arial" w:cs="Arial"/>
          <w:bCs/>
          <w:sz w:val="20"/>
          <w:szCs w:val="20"/>
        </w:rPr>
        <w:t>). Ce constat est à relier au fait que les rémunérations sont souvent plus faibles dans les entreprises de petite taille.</w:t>
      </w:r>
    </w:p>
    <w:p w:rsidR="00916EA3" w:rsidRPr="00B7240C" w:rsidRDefault="00916EA3" w:rsidP="00916EA3">
      <w:pPr>
        <w:autoSpaceDE w:val="0"/>
        <w:jc w:val="center"/>
      </w:pPr>
      <w:r w:rsidRPr="00B7240C">
        <w:rPr>
          <w:rFonts w:ascii="Arial" w:hAnsi="Arial" w:cs="Arial"/>
          <w:b/>
          <w:bCs/>
          <w:sz w:val="20"/>
          <w:szCs w:val="20"/>
        </w:rPr>
        <w:t>Tableau 4 : Ratio « Participation estimée / Participation actuelle »</w:t>
      </w:r>
    </w:p>
    <w:p w:rsidR="00916EA3" w:rsidRPr="00B7240C" w:rsidRDefault="00916EA3" w:rsidP="00916EA3">
      <w:pPr>
        <w:autoSpaceDE w:val="0"/>
        <w:jc w:val="center"/>
        <w:rPr>
          <w:rFonts w:ascii="Arial" w:hAnsi="Arial" w:cs="Arial"/>
          <w:b/>
          <w:color w:val="000000"/>
          <w:sz w:val="20"/>
          <w:szCs w:val="20"/>
        </w:rPr>
      </w:pPr>
      <w:r w:rsidRPr="00B7240C">
        <w:rPr>
          <w:rFonts w:ascii="Arial" w:hAnsi="Arial" w:cs="Arial"/>
          <w:b/>
          <w:sz w:val="20"/>
          <w:szCs w:val="20"/>
        </w:rPr>
        <w:t>par décile de rémunération moyenne</w:t>
      </w:r>
    </w:p>
    <w:tbl>
      <w:tblPr>
        <w:tblW w:w="0" w:type="auto"/>
        <w:jc w:val="center"/>
        <w:tblInd w:w="50" w:type="dxa"/>
        <w:tblLayout w:type="fixed"/>
        <w:tblCellMar>
          <w:left w:w="70" w:type="dxa"/>
          <w:right w:w="70" w:type="dxa"/>
        </w:tblCellMar>
        <w:tblLook w:val="0000" w:firstRow="0" w:lastRow="0" w:firstColumn="0" w:lastColumn="0" w:noHBand="0" w:noVBand="0"/>
      </w:tblPr>
      <w:tblGrid>
        <w:gridCol w:w="3820"/>
        <w:gridCol w:w="867"/>
      </w:tblGrid>
      <w:tr w:rsidR="00916EA3" w:rsidRPr="00B7240C" w:rsidTr="00916EA3">
        <w:trPr>
          <w:cantSplit/>
          <w:trHeight w:val="288"/>
          <w:jc w:val="center"/>
        </w:trPr>
        <w:tc>
          <w:tcPr>
            <w:tcW w:w="3820" w:type="dxa"/>
            <w:tcBorders>
              <w:top w:val="single" w:sz="4" w:space="0" w:color="000000"/>
              <w:left w:val="single" w:sz="4" w:space="0" w:color="000000"/>
              <w:bottom w:val="single" w:sz="4" w:space="0" w:color="000000"/>
            </w:tcBorders>
            <w:shd w:val="clear" w:color="auto" w:fill="auto"/>
            <w:vAlign w:val="center"/>
          </w:tcPr>
          <w:p w:rsidR="00916EA3" w:rsidRPr="00B7240C" w:rsidRDefault="00916EA3" w:rsidP="00916EA3">
            <w:pPr>
              <w:snapToGrid w:val="0"/>
              <w:jc w:val="center"/>
              <w:rPr>
                <w:rFonts w:ascii="Calibri" w:hAnsi="Calibri" w:cs="Calibri"/>
                <w:color w:val="000000"/>
              </w:rPr>
            </w:pPr>
            <w:r w:rsidRPr="00B7240C">
              <w:rPr>
                <w:rFonts w:ascii="Calibri" w:hAnsi="Calibri" w:cs="Calibri"/>
                <w:color w:val="000000"/>
              </w:rPr>
              <w:t>Décile de rémunération annuelle moyenne  de l'entreprise</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EA3" w:rsidRPr="00B7240C" w:rsidRDefault="00916EA3" w:rsidP="006D06A1">
            <w:pPr>
              <w:jc w:val="center"/>
              <w:rPr>
                <w:rFonts w:ascii="Calibri" w:hAnsi="Calibri" w:cs="Calibri"/>
                <w:color w:val="000000"/>
              </w:rPr>
            </w:pPr>
            <w:r w:rsidRPr="00B7240C">
              <w:rPr>
                <w:rFonts w:ascii="Calibri" w:hAnsi="Calibri" w:cs="Calibri"/>
                <w:color w:val="000000"/>
              </w:rPr>
              <w:t>10%*BC</w:t>
            </w:r>
          </w:p>
        </w:tc>
      </w:tr>
      <w:tr w:rsidR="00916EA3" w:rsidRPr="00B7240C" w:rsidTr="00916EA3">
        <w:trPr>
          <w:trHeight w:val="288"/>
          <w:jc w:val="center"/>
        </w:trPr>
        <w:tc>
          <w:tcPr>
            <w:tcW w:w="3820" w:type="dxa"/>
            <w:tcBorders>
              <w:top w:val="none" w:sz="0" w:space="0" w:color="000000"/>
              <w:left w:val="single" w:sz="4" w:space="0" w:color="000000"/>
              <w:bottom w:val="none" w:sz="0" w:space="0" w:color="000000"/>
            </w:tcBorders>
            <w:shd w:val="clear" w:color="auto" w:fill="auto"/>
            <w:vAlign w:val="center"/>
          </w:tcPr>
          <w:p w:rsidR="00916EA3" w:rsidRPr="00B7240C" w:rsidRDefault="00916EA3" w:rsidP="00916EA3">
            <w:pPr>
              <w:rPr>
                <w:rFonts w:ascii="Calibri" w:hAnsi="Calibri" w:cs="Calibri"/>
                <w:color w:val="000000"/>
              </w:rPr>
            </w:pPr>
            <w:r w:rsidRPr="00B7240C">
              <w:rPr>
                <w:rFonts w:ascii="Calibri" w:hAnsi="Calibri" w:cs="Calibri"/>
                <w:color w:val="000000"/>
              </w:rPr>
              <w:t>Inférieur au 3ème décile</w:t>
            </w:r>
          </w:p>
        </w:tc>
        <w:tc>
          <w:tcPr>
            <w:tcW w:w="867" w:type="dxa"/>
            <w:tcBorders>
              <w:top w:val="none" w:sz="0" w:space="0" w:color="000000"/>
              <w:left w:val="single" w:sz="4" w:space="0" w:color="000000"/>
              <w:bottom w:val="none" w:sz="0" w:space="0" w:color="000000"/>
              <w:right w:val="single" w:sz="4" w:space="0" w:color="000000"/>
            </w:tcBorders>
            <w:shd w:val="clear" w:color="auto" w:fill="auto"/>
            <w:vAlign w:val="center"/>
          </w:tcPr>
          <w:p w:rsidR="00916EA3" w:rsidRDefault="00916EA3" w:rsidP="009014A4">
            <w:pPr>
              <w:jc w:val="center"/>
              <w:rPr>
                <w:rFonts w:ascii="Arial" w:hAnsi="Arial" w:cs="Arial"/>
                <w:color w:val="000000"/>
                <w:sz w:val="20"/>
                <w:szCs w:val="20"/>
              </w:rPr>
            </w:pPr>
            <w:r>
              <w:rPr>
                <w:rFonts w:ascii="Arial" w:hAnsi="Arial" w:cs="Arial"/>
                <w:color w:val="000000"/>
                <w:sz w:val="20"/>
                <w:szCs w:val="20"/>
              </w:rPr>
              <w:t>1,2</w:t>
            </w:r>
          </w:p>
        </w:tc>
      </w:tr>
      <w:tr w:rsidR="00916EA3" w:rsidRPr="00B7240C" w:rsidTr="00916EA3">
        <w:trPr>
          <w:trHeight w:val="288"/>
          <w:jc w:val="center"/>
        </w:trPr>
        <w:tc>
          <w:tcPr>
            <w:tcW w:w="3820" w:type="dxa"/>
            <w:tcBorders>
              <w:top w:val="none" w:sz="0" w:space="0" w:color="000000"/>
              <w:left w:val="single" w:sz="4" w:space="0" w:color="000000"/>
              <w:bottom w:val="none" w:sz="0" w:space="0" w:color="000000"/>
            </w:tcBorders>
            <w:shd w:val="clear" w:color="auto" w:fill="auto"/>
            <w:vAlign w:val="center"/>
          </w:tcPr>
          <w:p w:rsidR="00916EA3" w:rsidRPr="00B7240C" w:rsidRDefault="00916EA3" w:rsidP="00916EA3">
            <w:pPr>
              <w:rPr>
                <w:rFonts w:ascii="Calibri" w:hAnsi="Calibri" w:cs="Calibri"/>
                <w:color w:val="000000"/>
              </w:rPr>
            </w:pPr>
            <w:r w:rsidRPr="00B7240C">
              <w:rPr>
                <w:rFonts w:ascii="Calibri" w:hAnsi="Calibri" w:cs="Calibri"/>
                <w:color w:val="000000"/>
              </w:rPr>
              <w:t>Entre le 3ème décile et le 7ème décile</w:t>
            </w:r>
          </w:p>
        </w:tc>
        <w:tc>
          <w:tcPr>
            <w:tcW w:w="867" w:type="dxa"/>
            <w:tcBorders>
              <w:top w:val="none" w:sz="0" w:space="0" w:color="000000"/>
              <w:left w:val="single" w:sz="4" w:space="0" w:color="000000"/>
              <w:right w:val="single" w:sz="4" w:space="0" w:color="000000"/>
            </w:tcBorders>
            <w:shd w:val="clear" w:color="auto" w:fill="auto"/>
            <w:vAlign w:val="center"/>
          </w:tcPr>
          <w:p w:rsidR="00916EA3" w:rsidRDefault="00916EA3" w:rsidP="009014A4">
            <w:pPr>
              <w:jc w:val="center"/>
              <w:rPr>
                <w:rFonts w:ascii="Arial" w:hAnsi="Arial" w:cs="Arial"/>
                <w:color w:val="000000"/>
                <w:sz w:val="20"/>
                <w:szCs w:val="20"/>
              </w:rPr>
            </w:pPr>
            <w:r>
              <w:rPr>
                <w:rFonts w:ascii="Arial" w:hAnsi="Arial" w:cs="Arial"/>
                <w:color w:val="000000"/>
                <w:sz w:val="20"/>
                <w:szCs w:val="20"/>
              </w:rPr>
              <w:t>1,0</w:t>
            </w:r>
          </w:p>
        </w:tc>
      </w:tr>
      <w:tr w:rsidR="00916EA3" w:rsidRPr="00B7240C" w:rsidTr="00916EA3">
        <w:trPr>
          <w:trHeight w:val="288"/>
          <w:jc w:val="center"/>
        </w:trPr>
        <w:tc>
          <w:tcPr>
            <w:tcW w:w="3820" w:type="dxa"/>
            <w:tcBorders>
              <w:top w:val="none" w:sz="0" w:space="0" w:color="000000"/>
              <w:left w:val="single" w:sz="4" w:space="0" w:color="000000"/>
              <w:bottom w:val="single" w:sz="4" w:space="0" w:color="000000"/>
            </w:tcBorders>
            <w:shd w:val="clear" w:color="auto" w:fill="auto"/>
            <w:vAlign w:val="center"/>
          </w:tcPr>
          <w:p w:rsidR="00916EA3" w:rsidRPr="00B7240C" w:rsidRDefault="00916EA3" w:rsidP="00916EA3">
            <w:pPr>
              <w:rPr>
                <w:rFonts w:ascii="Calibri" w:hAnsi="Calibri" w:cs="Calibri"/>
                <w:color w:val="000000"/>
              </w:rPr>
            </w:pPr>
            <w:r w:rsidRPr="00B7240C">
              <w:rPr>
                <w:rFonts w:ascii="Calibri" w:hAnsi="Calibri" w:cs="Calibri"/>
                <w:color w:val="000000"/>
              </w:rPr>
              <w:t>Supérieur au 7ème décile</w:t>
            </w:r>
          </w:p>
        </w:tc>
        <w:tc>
          <w:tcPr>
            <w:tcW w:w="867" w:type="dxa"/>
            <w:tcBorders>
              <w:left w:val="single" w:sz="4" w:space="0" w:color="000000"/>
              <w:bottom w:val="single" w:sz="4" w:space="0" w:color="000000"/>
              <w:right w:val="single" w:sz="4" w:space="0" w:color="000000"/>
            </w:tcBorders>
            <w:shd w:val="clear" w:color="auto" w:fill="auto"/>
            <w:vAlign w:val="center"/>
          </w:tcPr>
          <w:p w:rsidR="00916EA3" w:rsidRDefault="00916EA3" w:rsidP="009014A4">
            <w:pPr>
              <w:jc w:val="center"/>
              <w:rPr>
                <w:rFonts w:ascii="Arial" w:hAnsi="Arial" w:cs="Arial"/>
                <w:color w:val="000000"/>
                <w:sz w:val="20"/>
                <w:szCs w:val="20"/>
              </w:rPr>
            </w:pPr>
            <w:r>
              <w:rPr>
                <w:rFonts w:ascii="Arial" w:hAnsi="Arial" w:cs="Arial"/>
                <w:color w:val="000000"/>
                <w:sz w:val="20"/>
                <w:szCs w:val="20"/>
              </w:rPr>
              <w:t>1,3</w:t>
            </w:r>
          </w:p>
        </w:tc>
      </w:tr>
      <w:tr w:rsidR="00916EA3" w:rsidRPr="00B7240C" w:rsidTr="00916EA3">
        <w:trPr>
          <w:trHeight w:val="288"/>
          <w:jc w:val="center"/>
        </w:trPr>
        <w:tc>
          <w:tcPr>
            <w:tcW w:w="3820" w:type="dxa"/>
            <w:tcBorders>
              <w:top w:val="none" w:sz="0" w:space="0" w:color="000000"/>
              <w:left w:val="single" w:sz="4" w:space="0" w:color="000000"/>
              <w:bottom w:val="single" w:sz="4" w:space="0" w:color="000000"/>
            </w:tcBorders>
            <w:shd w:val="clear" w:color="auto" w:fill="auto"/>
            <w:vAlign w:val="center"/>
          </w:tcPr>
          <w:p w:rsidR="00916EA3" w:rsidRPr="00B7240C" w:rsidRDefault="00916EA3" w:rsidP="00916EA3">
            <w:pPr>
              <w:rPr>
                <w:rFonts w:ascii="Calibri" w:hAnsi="Calibri" w:cs="Calibri"/>
                <w:b/>
                <w:bCs/>
                <w:color w:val="000000"/>
              </w:rPr>
            </w:pPr>
            <w:r w:rsidRPr="00B7240C">
              <w:rPr>
                <w:rFonts w:ascii="Calibri" w:hAnsi="Calibri" w:cs="Calibri"/>
                <w:b/>
                <w:bCs/>
                <w:color w:val="000000"/>
              </w:rPr>
              <w:t>Entreprises de 50 salariés ou plus</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EA3" w:rsidRDefault="00916EA3" w:rsidP="009014A4">
            <w:pPr>
              <w:jc w:val="center"/>
              <w:rPr>
                <w:rFonts w:ascii="Arial" w:hAnsi="Arial" w:cs="Arial"/>
                <w:b/>
                <w:bCs/>
                <w:color w:val="000000"/>
                <w:sz w:val="20"/>
                <w:szCs w:val="20"/>
              </w:rPr>
            </w:pPr>
            <w:r>
              <w:rPr>
                <w:rFonts w:ascii="Arial" w:hAnsi="Arial" w:cs="Arial"/>
                <w:b/>
                <w:bCs/>
                <w:color w:val="000000"/>
                <w:sz w:val="20"/>
                <w:szCs w:val="20"/>
              </w:rPr>
              <w:t>1,2</w:t>
            </w:r>
          </w:p>
        </w:tc>
      </w:tr>
    </w:tbl>
    <w:p w:rsidR="00916EA3" w:rsidRPr="00B7240C" w:rsidRDefault="00916EA3" w:rsidP="009014A4">
      <w:pPr>
        <w:autoSpaceDE w:val="0"/>
        <w:spacing w:after="0" w:line="240" w:lineRule="auto"/>
        <w:ind w:left="2268"/>
        <w:rPr>
          <w:rFonts w:ascii="Arial" w:hAnsi="Arial" w:cs="Arial"/>
          <w:bCs/>
          <w:i/>
          <w:sz w:val="18"/>
          <w:szCs w:val="18"/>
          <w:u w:val="single"/>
        </w:rPr>
      </w:pPr>
      <w:r w:rsidRPr="00B7240C">
        <w:rPr>
          <w:rFonts w:ascii="Arial" w:hAnsi="Arial" w:cs="Arial"/>
          <w:bCs/>
          <w:i/>
          <w:sz w:val="18"/>
          <w:szCs w:val="18"/>
          <w:u w:val="single"/>
        </w:rPr>
        <w:t>Seuils</w:t>
      </w:r>
      <w:r w:rsidRPr="00B7240C">
        <w:rPr>
          <w:rFonts w:ascii="Arial" w:hAnsi="Arial" w:cs="Arial"/>
          <w:bCs/>
          <w:i/>
          <w:sz w:val="18"/>
          <w:szCs w:val="18"/>
        </w:rPr>
        <w:t> : D3 =  21 131 € ; D7 = 33 566 €.</w:t>
      </w:r>
    </w:p>
    <w:p w:rsidR="00916EA3" w:rsidRPr="00B7240C" w:rsidRDefault="00916EA3" w:rsidP="009014A4">
      <w:pPr>
        <w:autoSpaceDE w:val="0"/>
        <w:spacing w:after="0" w:line="240" w:lineRule="auto"/>
        <w:ind w:left="2268"/>
        <w:rPr>
          <w:rFonts w:ascii="Arial" w:hAnsi="Arial" w:cs="Arial"/>
          <w:bCs/>
          <w:i/>
          <w:sz w:val="18"/>
          <w:szCs w:val="18"/>
          <w:u w:val="single"/>
        </w:rPr>
      </w:pPr>
      <w:r w:rsidRPr="00B7240C">
        <w:rPr>
          <w:rFonts w:ascii="Arial" w:hAnsi="Arial" w:cs="Arial"/>
          <w:bCs/>
          <w:i/>
          <w:sz w:val="18"/>
          <w:szCs w:val="18"/>
          <w:u w:val="single"/>
        </w:rPr>
        <w:t>Champ</w:t>
      </w:r>
      <w:r w:rsidRPr="00B7240C">
        <w:rPr>
          <w:rFonts w:ascii="Arial" w:hAnsi="Arial" w:cs="Arial"/>
          <w:bCs/>
          <w:i/>
          <w:sz w:val="18"/>
          <w:szCs w:val="18"/>
        </w:rPr>
        <w:t> : entreprises privées de 50 salariés ou plus, hors secteurs agricole et financier</w:t>
      </w:r>
    </w:p>
    <w:p w:rsidR="00916EA3" w:rsidRPr="00B7240C" w:rsidRDefault="00916EA3" w:rsidP="009014A4">
      <w:pPr>
        <w:autoSpaceDE w:val="0"/>
        <w:spacing w:after="0" w:line="240" w:lineRule="auto"/>
        <w:ind w:left="2268"/>
        <w:rPr>
          <w:rFonts w:ascii="Arial" w:hAnsi="Arial" w:cs="Arial"/>
          <w:bCs/>
          <w:i/>
          <w:sz w:val="18"/>
          <w:szCs w:val="18"/>
          <w:u w:val="single"/>
        </w:rPr>
      </w:pPr>
      <w:r w:rsidRPr="00B7240C">
        <w:rPr>
          <w:rFonts w:ascii="Arial" w:hAnsi="Arial" w:cs="Arial"/>
          <w:bCs/>
          <w:i/>
          <w:sz w:val="18"/>
          <w:szCs w:val="18"/>
          <w:u w:val="single"/>
        </w:rPr>
        <w:t>Source</w:t>
      </w:r>
      <w:r w:rsidRPr="00B7240C">
        <w:rPr>
          <w:rFonts w:ascii="Arial" w:hAnsi="Arial" w:cs="Arial"/>
          <w:bCs/>
          <w:i/>
          <w:sz w:val="18"/>
          <w:szCs w:val="18"/>
        </w:rPr>
        <w:t> : Insee - fichier Fare 2015, calculs Dares</w:t>
      </w:r>
    </w:p>
    <w:p w:rsidR="00916EA3" w:rsidRPr="00CF381E" w:rsidRDefault="00916EA3" w:rsidP="009014A4">
      <w:pPr>
        <w:autoSpaceDE w:val="0"/>
        <w:spacing w:after="0" w:line="240" w:lineRule="auto"/>
        <w:ind w:left="2268"/>
        <w:rPr>
          <w:rFonts w:ascii="Arial" w:hAnsi="Arial" w:cs="Arial"/>
          <w:bCs/>
          <w:sz w:val="20"/>
          <w:szCs w:val="20"/>
        </w:rPr>
      </w:pPr>
      <w:r w:rsidRPr="00B7240C">
        <w:rPr>
          <w:rFonts w:ascii="Arial" w:hAnsi="Arial" w:cs="Arial"/>
          <w:bCs/>
          <w:i/>
          <w:sz w:val="18"/>
          <w:szCs w:val="18"/>
          <w:u w:val="single"/>
        </w:rPr>
        <w:t>Lecture</w:t>
      </w:r>
      <w:r w:rsidRPr="00B7240C">
        <w:rPr>
          <w:rFonts w:ascii="Arial" w:hAnsi="Arial" w:cs="Arial"/>
          <w:bCs/>
          <w:i/>
          <w:sz w:val="18"/>
          <w:szCs w:val="18"/>
        </w:rPr>
        <w:t xml:space="preserve"> : Parmi les 30 % d’entreprises versant les </w:t>
      </w:r>
      <w:r>
        <w:rPr>
          <w:rFonts w:ascii="Arial" w:hAnsi="Arial" w:cs="Arial"/>
          <w:bCs/>
          <w:i/>
          <w:sz w:val="18"/>
          <w:szCs w:val="18"/>
        </w:rPr>
        <w:t>rémunérations</w:t>
      </w:r>
      <w:r w:rsidRPr="00B7240C">
        <w:rPr>
          <w:rFonts w:ascii="Arial" w:hAnsi="Arial" w:cs="Arial"/>
          <w:bCs/>
          <w:i/>
          <w:sz w:val="18"/>
          <w:szCs w:val="18"/>
        </w:rPr>
        <w:t xml:space="preserve"> moyen</w:t>
      </w:r>
      <w:r>
        <w:rPr>
          <w:rFonts w:ascii="Arial" w:hAnsi="Arial" w:cs="Arial"/>
          <w:bCs/>
          <w:i/>
          <w:sz w:val="18"/>
          <w:szCs w:val="18"/>
        </w:rPr>
        <w:t>ne</w:t>
      </w:r>
      <w:r w:rsidRPr="00B7240C">
        <w:rPr>
          <w:rFonts w:ascii="Arial" w:hAnsi="Arial" w:cs="Arial"/>
          <w:bCs/>
          <w:i/>
          <w:sz w:val="18"/>
          <w:szCs w:val="18"/>
        </w:rPr>
        <w:t xml:space="preserve">s les plus faibles (rémunération annuelle moyenne inférieure à 21 131 € bruts), la formule </w:t>
      </w:r>
      <w:r>
        <w:rPr>
          <w:rFonts w:ascii="Arial" w:hAnsi="Arial" w:cs="Arial"/>
          <w:bCs/>
          <w:i/>
          <w:sz w:val="18"/>
          <w:szCs w:val="18"/>
        </w:rPr>
        <w:t>10%*BC</w:t>
      </w:r>
      <w:r w:rsidRPr="00B7240C">
        <w:rPr>
          <w:rFonts w:ascii="Arial" w:hAnsi="Arial" w:cs="Arial"/>
          <w:bCs/>
          <w:i/>
          <w:sz w:val="18"/>
          <w:szCs w:val="18"/>
        </w:rPr>
        <w:t xml:space="preserve"> entraînerait des montants de participation </w:t>
      </w:r>
      <w:r>
        <w:rPr>
          <w:rFonts w:ascii="Arial" w:hAnsi="Arial" w:cs="Arial"/>
          <w:bCs/>
          <w:i/>
          <w:sz w:val="18"/>
          <w:szCs w:val="18"/>
        </w:rPr>
        <w:t>1</w:t>
      </w:r>
      <w:r w:rsidRPr="00B7240C">
        <w:rPr>
          <w:rFonts w:ascii="Arial" w:hAnsi="Arial" w:cs="Arial"/>
          <w:bCs/>
          <w:i/>
          <w:sz w:val="18"/>
          <w:szCs w:val="18"/>
        </w:rPr>
        <w:t>,</w:t>
      </w:r>
      <w:r>
        <w:rPr>
          <w:rFonts w:ascii="Arial" w:hAnsi="Arial" w:cs="Arial"/>
          <w:bCs/>
          <w:i/>
          <w:sz w:val="18"/>
          <w:szCs w:val="18"/>
        </w:rPr>
        <w:t>2</w:t>
      </w:r>
      <w:r w:rsidRPr="00B7240C">
        <w:rPr>
          <w:rFonts w:ascii="Arial" w:hAnsi="Arial" w:cs="Arial"/>
          <w:bCs/>
          <w:i/>
          <w:sz w:val="18"/>
          <w:szCs w:val="18"/>
        </w:rPr>
        <w:t xml:space="preserve"> fois plus é</w:t>
      </w:r>
      <w:r>
        <w:rPr>
          <w:rFonts w:ascii="Arial" w:hAnsi="Arial" w:cs="Arial"/>
          <w:bCs/>
          <w:i/>
          <w:sz w:val="18"/>
          <w:szCs w:val="18"/>
        </w:rPr>
        <w:t>levés que les montants actuels.</w:t>
      </w:r>
    </w:p>
    <w:p w:rsidR="00916EA3" w:rsidRPr="00910911" w:rsidRDefault="00916EA3" w:rsidP="00916EA3">
      <w:pPr>
        <w:autoSpaceDE w:val="0"/>
        <w:autoSpaceDN w:val="0"/>
        <w:adjustRightInd w:val="0"/>
        <w:rPr>
          <w:rFonts w:ascii="Arial" w:hAnsi="Arial" w:cs="Arial"/>
          <w:bCs/>
          <w:sz w:val="20"/>
          <w:szCs w:val="20"/>
        </w:rPr>
      </w:pPr>
    </w:p>
    <w:p w:rsidR="00D9118C" w:rsidRDefault="00D9118C" w:rsidP="00F85D64">
      <w:pPr>
        <w:jc w:val="both"/>
        <w:rPr>
          <w:b/>
        </w:rPr>
      </w:pPr>
    </w:p>
    <w:p w:rsidR="00D9118C" w:rsidRDefault="00D9118C" w:rsidP="00F85D64">
      <w:pPr>
        <w:jc w:val="both"/>
        <w:rPr>
          <w:b/>
        </w:rPr>
      </w:pPr>
    </w:p>
    <w:p w:rsidR="00CC2A22" w:rsidRDefault="00CC2A22" w:rsidP="00F85D64">
      <w:pPr>
        <w:jc w:val="center"/>
        <w:rPr>
          <w:b/>
        </w:rPr>
      </w:pPr>
    </w:p>
    <w:sectPr w:rsidR="00CC2A22" w:rsidSect="00BD3F85">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B97" w:rsidRDefault="00794B97" w:rsidP="00D436D8">
      <w:pPr>
        <w:spacing w:after="0" w:line="240" w:lineRule="auto"/>
      </w:pPr>
      <w:r>
        <w:separator/>
      </w:r>
    </w:p>
  </w:endnote>
  <w:endnote w:type="continuationSeparator" w:id="0">
    <w:p w:rsidR="00794B97" w:rsidRDefault="00794B97" w:rsidP="00D43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SansM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97" w:rsidRDefault="00794B9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471029"/>
      <w:docPartObj>
        <w:docPartGallery w:val="Page Numbers (Bottom of Page)"/>
        <w:docPartUnique/>
      </w:docPartObj>
    </w:sdtPr>
    <w:sdtContent>
      <w:p w:rsidR="00794B97" w:rsidRDefault="00794B97">
        <w:pPr>
          <w:pStyle w:val="Pieddepage"/>
          <w:jc w:val="center"/>
        </w:pPr>
        <w:r>
          <w:fldChar w:fldCharType="begin"/>
        </w:r>
        <w:r>
          <w:instrText>PAGE   \* MERGEFORMAT</w:instrText>
        </w:r>
        <w:r>
          <w:fldChar w:fldCharType="separate"/>
        </w:r>
        <w:r w:rsidR="00F96D27">
          <w:rPr>
            <w:noProof/>
          </w:rPr>
          <w:t>- 34 -</w:t>
        </w:r>
        <w:r>
          <w:fldChar w:fldCharType="end"/>
        </w:r>
      </w:p>
    </w:sdtContent>
  </w:sdt>
  <w:p w:rsidR="00794B97" w:rsidRDefault="00794B97" w:rsidP="00BD3F85">
    <w:pPr>
      <w:pStyle w:val="Pieddepag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97" w:rsidRDefault="00794B9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B97" w:rsidRDefault="00794B97" w:rsidP="00D436D8">
      <w:pPr>
        <w:spacing w:after="0" w:line="240" w:lineRule="auto"/>
      </w:pPr>
      <w:r>
        <w:separator/>
      </w:r>
    </w:p>
  </w:footnote>
  <w:footnote w:type="continuationSeparator" w:id="0">
    <w:p w:rsidR="00794B97" w:rsidRDefault="00794B97" w:rsidP="00D436D8">
      <w:pPr>
        <w:spacing w:after="0" w:line="240" w:lineRule="auto"/>
      </w:pPr>
      <w:r>
        <w:continuationSeparator/>
      </w:r>
    </w:p>
  </w:footnote>
  <w:footnote w:id="1">
    <w:p w:rsidR="00794B97" w:rsidRPr="00A04645" w:rsidRDefault="00794B97" w:rsidP="00916EA3">
      <w:pPr>
        <w:pStyle w:val="Notedebasdepage"/>
        <w:jc w:val="both"/>
        <w:rPr>
          <w:rFonts w:ascii="Arial" w:hAnsi="Arial" w:cs="Arial"/>
          <w:sz w:val="16"/>
          <w:szCs w:val="16"/>
        </w:rPr>
      </w:pPr>
      <w:r w:rsidRPr="00A04645">
        <w:rPr>
          <w:rStyle w:val="Appelnotedebasdep"/>
          <w:rFonts w:ascii="Arial" w:hAnsi="Arial" w:cs="Arial"/>
          <w:sz w:val="16"/>
          <w:szCs w:val="16"/>
        </w:rPr>
        <w:footnoteRef/>
      </w:r>
      <w:r w:rsidRPr="00A04645">
        <w:rPr>
          <w:rFonts w:ascii="Arial" w:hAnsi="Arial" w:cs="Arial"/>
          <w:sz w:val="16"/>
          <w:szCs w:val="16"/>
        </w:rPr>
        <w:t xml:space="preserve"> Cette part est calculée sur l’ensemble des entreprises de 50 salariés ou plus et non uniquement sur celles qui versent de la participation</w:t>
      </w:r>
      <w:r>
        <w:rPr>
          <w:rFonts w:ascii="Arial" w:hAnsi="Arial" w:cs="Arial"/>
          <w:sz w:val="16"/>
          <w:szCs w:val="16"/>
        </w:rPr>
        <w:t xml:space="preserve"> comme dans la fiche 3</w:t>
      </w:r>
      <w:r w:rsidRPr="00A04645">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97" w:rsidRDefault="00794B9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41846" o:spid="_x0000_s12290" type="#_x0000_t136" style="position:absolute;margin-left:0;margin-top:0;width:426.35pt;height:213.15pt;rotation:315;z-index:-251655168;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97" w:rsidRDefault="00794B9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41847" o:spid="_x0000_s12291" type="#_x0000_t136" style="position:absolute;margin-left:0;margin-top:0;width:426.35pt;height:213.15pt;rotation:315;z-index:-251653120;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97" w:rsidRDefault="00794B9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41845" o:spid="_x0000_s12289" type="#_x0000_t136" style="position:absolute;margin-left:0;margin-top:0;width:426.35pt;height:213.15pt;rotation:315;z-index:-251657216;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7"/>
    <w:lvl w:ilvl="0">
      <w:start w:val="1"/>
      <w:numFmt w:val="decimal"/>
      <w:lvlText w:val="(%1)"/>
      <w:lvlJc w:val="left"/>
      <w:pPr>
        <w:tabs>
          <w:tab w:val="num" w:pos="0"/>
        </w:tabs>
        <w:ind w:left="720" w:hanging="360"/>
      </w:pPr>
      <w:rPr>
        <w:rFonts w:hint="default"/>
      </w:rPr>
    </w:lvl>
  </w:abstractNum>
  <w:abstractNum w:abstractNumId="1">
    <w:nsid w:val="0B3C1F9C"/>
    <w:multiLevelType w:val="hybridMultilevel"/>
    <w:tmpl w:val="A254FB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1B74B70"/>
    <w:multiLevelType w:val="hybridMultilevel"/>
    <w:tmpl w:val="A6B048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4A837A4"/>
    <w:multiLevelType w:val="hybridMultilevel"/>
    <w:tmpl w:val="5F385898"/>
    <w:lvl w:ilvl="0" w:tplc="040C0005">
      <w:start w:val="1"/>
      <w:numFmt w:val="bullet"/>
      <w:lvlText w:val=""/>
      <w:lvlJc w:val="left"/>
      <w:pPr>
        <w:ind w:left="720" w:hanging="360"/>
      </w:pPr>
      <w:rPr>
        <w:rFonts w:ascii="Wingdings" w:hAnsi="Wingdings" w:hint="default"/>
      </w:rPr>
    </w:lvl>
    <w:lvl w:ilvl="1" w:tplc="5A947B78">
      <w:start w:val="13"/>
      <w:numFmt w:val="bullet"/>
      <w:lvlText w:val="-"/>
      <w:lvlJc w:val="left"/>
      <w:pPr>
        <w:ind w:left="1785" w:hanging="705"/>
      </w:pPr>
      <w:rPr>
        <w:rFonts w:ascii="Calibri" w:eastAsia="Calibri" w:hAnsi="Calibri" w:cs="Calibri"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18DE452E"/>
    <w:multiLevelType w:val="hybridMultilevel"/>
    <w:tmpl w:val="D05AC074"/>
    <w:lvl w:ilvl="0" w:tplc="A8C054B4">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153C01"/>
    <w:multiLevelType w:val="hybridMultilevel"/>
    <w:tmpl w:val="7B9A4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4C1152D"/>
    <w:multiLevelType w:val="hybridMultilevel"/>
    <w:tmpl w:val="10F4B5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9C91250"/>
    <w:multiLevelType w:val="hybridMultilevel"/>
    <w:tmpl w:val="664CD14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414034D"/>
    <w:multiLevelType w:val="hybridMultilevel"/>
    <w:tmpl w:val="93964E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A7079FA"/>
    <w:multiLevelType w:val="hybridMultilevel"/>
    <w:tmpl w:val="959AD0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296053A"/>
    <w:multiLevelType w:val="hybridMultilevel"/>
    <w:tmpl w:val="7A4E97F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54D368A1"/>
    <w:multiLevelType w:val="hybridMultilevel"/>
    <w:tmpl w:val="531E40D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98055D4"/>
    <w:multiLevelType w:val="hybridMultilevel"/>
    <w:tmpl w:val="EF0A0D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AD32D26"/>
    <w:multiLevelType w:val="hybridMultilevel"/>
    <w:tmpl w:val="775EEB6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5CBF662A"/>
    <w:multiLevelType w:val="hybridMultilevel"/>
    <w:tmpl w:val="2834BACA"/>
    <w:lvl w:ilvl="0" w:tplc="B57AB854">
      <w:start w:val="3"/>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5E4C64F9"/>
    <w:multiLevelType w:val="hybridMultilevel"/>
    <w:tmpl w:val="8D1021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17B091C"/>
    <w:multiLevelType w:val="hybridMultilevel"/>
    <w:tmpl w:val="3A7C03DC"/>
    <w:lvl w:ilvl="0" w:tplc="040C0005">
      <w:start w:val="1"/>
      <w:numFmt w:val="bullet"/>
      <w:lvlText w:val=""/>
      <w:lvlJc w:val="left"/>
      <w:pPr>
        <w:ind w:left="720" w:hanging="360"/>
      </w:pPr>
      <w:rPr>
        <w:rFonts w:ascii="Wingdings" w:hAnsi="Wingdings" w:hint="default"/>
      </w:rPr>
    </w:lvl>
    <w:lvl w:ilvl="1" w:tplc="040C0001">
      <w:start w:val="1"/>
      <w:numFmt w:val="bullet"/>
      <w:lvlText w:val=""/>
      <w:lvlJc w:val="left"/>
      <w:pPr>
        <w:ind w:left="1785" w:hanging="705"/>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64C5261D"/>
    <w:multiLevelType w:val="hybridMultilevel"/>
    <w:tmpl w:val="A5B6D132"/>
    <w:lvl w:ilvl="0" w:tplc="0A8AB8EC">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4F843A2"/>
    <w:multiLevelType w:val="hybridMultilevel"/>
    <w:tmpl w:val="AC3E67C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6D274CF6"/>
    <w:multiLevelType w:val="hybridMultilevel"/>
    <w:tmpl w:val="855CBACC"/>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704E39F4"/>
    <w:multiLevelType w:val="hybridMultilevel"/>
    <w:tmpl w:val="1F5C6228"/>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4CA36F9"/>
    <w:multiLevelType w:val="hybridMultilevel"/>
    <w:tmpl w:val="478070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9"/>
  </w:num>
  <w:num w:numId="3">
    <w:abstractNumId w:val="6"/>
  </w:num>
  <w:num w:numId="4">
    <w:abstractNumId w:val="15"/>
  </w:num>
  <w:num w:numId="5">
    <w:abstractNumId w:val="20"/>
  </w:num>
  <w:num w:numId="6">
    <w:abstractNumId w:val="0"/>
  </w:num>
  <w:num w:numId="7">
    <w:abstractNumId w:val="21"/>
  </w:num>
  <w:num w:numId="8">
    <w:abstractNumId w:val="2"/>
  </w:num>
  <w:num w:numId="9">
    <w:abstractNumId w:val="17"/>
  </w:num>
  <w:num w:numId="10">
    <w:abstractNumId w:val="7"/>
  </w:num>
  <w:num w:numId="11">
    <w:abstractNumId w:val="11"/>
  </w:num>
  <w:num w:numId="12">
    <w:abstractNumId w:val="5"/>
  </w:num>
  <w:num w:numId="13">
    <w:abstractNumId w:val="18"/>
  </w:num>
  <w:num w:numId="14">
    <w:abstractNumId w:val="10"/>
  </w:num>
  <w:num w:numId="15">
    <w:abstractNumId w:val="3"/>
  </w:num>
  <w:num w:numId="16">
    <w:abstractNumId w:val="13"/>
  </w:num>
  <w:num w:numId="17">
    <w:abstractNumId w:val="4"/>
  </w:num>
  <w:num w:numId="18">
    <w:abstractNumId w:val="14"/>
  </w:num>
  <w:num w:numId="19">
    <w:abstractNumId w:val="1"/>
  </w:num>
  <w:num w:numId="20">
    <w:abstractNumId w:val="16"/>
  </w:num>
  <w:num w:numId="21">
    <w:abstractNumId w:val="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12292"/>
    <o:shapelayout v:ext="edit">
      <o:idmap v:ext="edit" data="1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A22"/>
    <w:rsid w:val="0001416F"/>
    <w:rsid w:val="00016FF0"/>
    <w:rsid w:val="000212BA"/>
    <w:rsid w:val="00042414"/>
    <w:rsid w:val="0007241E"/>
    <w:rsid w:val="00086C1E"/>
    <w:rsid w:val="0009477A"/>
    <w:rsid w:val="00096429"/>
    <w:rsid w:val="000975B9"/>
    <w:rsid w:val="000B6CE5"/>
    <w:rsid w:val="000E4AFB"/>
    <w:rsid w:val="000E689E"/>
    <w:rsid w:val="0014718D"/>
    <w:rsid w:val="00152ADF"/>
    <w:rsid w:val="00155CD8"/>
    <w:rsid w:val="001615CB"/>
    <w:rsid w:val="00162970"/>
    <w:rsid w:val="001704B1"/>
    <w:rsid w:val="00176313"/>
    <w:rsid w:val="001964FF"/>
    <w:rsid w:val="001C3391"/>
    <w:rsid w:val="001C7AC4"/>
    <w:rsid w:val="001E7DEF"/>
    <w:rsid w:val="00245862"/>
    <w:rsid w:val="0024693C"/>
    <w:rsid w:val="002861E6"/>
    <w:rsid w:val="002A2CF1"/>
    <w:rsid w:val="002B368B"/>
    <w:rsid w:val="002C54A1"/>
    <w:rsid w:val="002D07AB"/>
    <w:rsid w:val="002D6881"/>
    <w:rsid w:val="00325E80"/>
    <w:rsid w:val="003C3BFC"/>
    <w:rsid w:val="003D146A"/>
    <w:rsid w:val="003D65A4"/>
    <w:rsid w:val="004334D1"/>
    <w:rsid w:val="004A545C"/>
    <w:rsid w:val="004D7BFA"/>
    <w:rsid w:val="004E4646"/>
    <w:rsid w:val="004F36F4"/>
    <w:rsid w:val="005114A9"/>
    <w:rsid w:val="005204B3"/>
    <w:rsid w:val="00537895"/>
    <w:rsid w:val="005661EC"/>
    <w:rsid w:val="005734A6"/>
    <w:rsid w:val="00581E78"/>
    <w:rsid w:val="005E09CB"/>
    <w:rsid w:val="00611B3B"/>
    <w:rsid w:val="006215D9"/>
    <w:rsid w:val="00677630"/>
    <w:rsid w:val="00677BE1"/>
    <w:rsid w:val="006833B5"/>
    <w:rsid w:val="00684FC9"/>
    <w:rsid w:val="006A24BC"/>
    <w:rsid w:val="006D06A1"/>
    <w:rsid w:val="00721DAA"/>
    <w:rsid w:val="00794B97"/>
    <w:rsid w:val="00797D54"/>
    <w:rsid w:val="007B3167"/>
    <w:rsid w:val="007B54E1"/>
    <w:rsid w:val="007C07D4"/>
    <w:rsid w:val="007C0D4D"/>
    <w:rsid w:val="007C7C72"/>
    <w:rsid w:val="007D3928"/>
    <w:rsid w:val="00802442"/>
    <w:rsid w:val="00811746"/>
    <w:rsid w:val="00830232"/>
    <w:rsid w:val="00833D8B"/>
    <w:rsid w:val="00847B45"/>
    <w:rsid w:val="00872192"/>
    <w:rsid w:val="0089225C"/>
    <w:rsid w:val="008D4697"/>
    <w:rsid w:val="008E639E"/>
    <w:rsid w:val="008F0588"/>
    <w:rsid w:val="009014A4"/>
    <w:rsid w:val="00916EA3"/>
    <w:rsid w:val="00922439"/>
    <w:rsid w:val="009320C3"/>
    <w:rsid w:val="00955BD3"/>
    <w:rsid w:val="00992059"/>
    <w:rsid w:val="00993C3C"/>
    <w:rsid w:val="009A058B"/>
    <w:rsid w:val="009F597E"/>
    <w:rsid w:val="00A10C76"/>
    <w:rsid w:val="00A16B4D"/>
    <w:rsid w:val="00A26C6C"/>
    <w:rsid w:val="00A93A9D"/>
    <w:rsid w:val="00AA07BB"/>
    <w:rsid w:val="00AA74CF"/>
    <w:rsid w:val="00B50AED"/>
    <w:rsid w:val="00B54AA0"/>
    <w:rsid w:val="00B71E76"/>
    <w:rsid w:val="00BA50DC"/>
    <w:rsid w:val="00BC7DB6"/>
    <w:rsid w:val="00BD3F85"/>
    <w:rsid w:val="00BF214D"/>
    <w:rsid w:val="00BF2E96"/>
    <w:rsid w:val="00C150E7"/>
    <w:rsid w:val="00C66FAD"/>
    <w:rsid w:val="00CC2A22"/>
    <w:rsid w:val="00CC559D"/>
    <w:rsid w:val="00CD0AB2"/>
    <w:rsid w:val="00CF2796"/>
    <w:rsid w:val="00D1648F"/>
    <w:rsid w:val="00D30CDA"/>
    <w:rsid w:val="00D40EBD"/>
    <w:rsid w:val="00D436D8"/>
    <w:rsid w:val="00D6671B"/>
    <w:rsid w:val="00D84706"/>
    <w:rsid w:val="00D9118C"/>
    <w:rsid w:val="00DB0B1C"/>
    <w:rsid w:val="00DB5578"/>
    <w:rsid w:val="00DE5825"/>
    <w:rsid w:val="00E27E1E"/>
    <w:rsid w:val="00E3071E"/>
    <w:rsid w:val="00E87A4B"/>
    <w:rsid w:val="00E91055"/>
    <w:rsid w:val="00EC12AA"/>
    <w:rsid w:val="00EC4084"/>
    <w:rsid w:val="00ED6E24"/>
    <w:rsid w:val="00EF7E25"/>
    <w:rsid w:val="00F01031"/>
    <w:rsid w:val="00F0270F"/>
    <w:rsid w:val="00F151D3"/>
    <w:rsid w:val="00F344E2"/>
    <w:rsid w:val="00F3624F"/>
    <w:rsid w:val="00F50CF6"/>
    <w:rsid w:val="00F67B72"/>
    <w:rsid w:val="00F833DC"/>
    <w:rsid w:val="00F85D64"/>
    <w:rsid w:val="00F96D27"/>
    <w:rsid w:val="00F9756F"/>
    <w:rsid w:val="00FC1271"/>
    <w:rsid w:val="00FC5334"/>
    <w:rsid w:val="00FF6A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436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F151D3"/>
    <w:pPr>
      <w:ind w:left="720"/>
      <w:contextualSpacing/>
    </w:pPr>
  </w:style>
  <w:style w:type="paragraph" w:styleId="Textedebulles">
    <w:name w:val="Balloon Text"/>
    <w:basedOn w:val="Normal"/>
    <w:link w:val="TextedebullesCar"/>
    <w:uiPriority w:val="99"/>
    <w:semiHidden/>
    <w:unhideWhenUsed/>
    <w:rsid w:val="00DE58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5825"/>
    <w:rPr>
      <w:rFonts w:ascii="Tahoma" w:hAnsi="Tahoma" w:cs="Tahoma"/>
      <w:sz w:val="16"/>
      <w:szCs w:val="16"/>
    </w:rPr>
  </w:style>
  <w:style w:type="character" w:styleId="Marquedecommentaire">
    <w:name w:val="annotation reference"/>
    <w:basedOn w:val="Policepardfaut"/>
    <w:uiPriority w:val="99"/>
    <w:semiHidden/>
    <w:unhideWhenUsed/>
    <w:rsid w:val="00DE5825"/>
    <w:rPr>
      <w:sz w:val="16"/>
      <w:szCs w:val="16"/>
    </w:rPr>
  </w:style>
  <w:style w:type="paragraph" w:styleId="Commentaire">
    <w:name w:val="annotation text"/>
    <w:basedOn w:val="Normal"/>
    <w:link w:val="CommentaireCar"/>
    <w:uiPriority w:val="99"/>
    <w:semiHidden/>
    <w:unhideWhenUsed/>
    <w:rsid w:val="00DE5825"/>
    <w:pPr>
      <w:spacing w:line="240" w:lineRule="auto"/>
    </w:pPr>
    <w:rPr>
      <w:sz w:val="20"/>
      <w:szCs w:val="20"/>
    </w:rPr>
  </w:style>
  <w:style w:type="character" w:customStyle="1" w:styleId="CommentaireCar">
    <w:name w:val="Commentaire Car"/>
    <w:basedOn w:val="Policepardfaut"/>
    <w:link w:val="Commentaire"/>
    <w:uiPriority w:val="99"/>
    <w:semiHidden/>
    <w:rsid w:val="00DE5825"/>
    <w:rPr>
      <w:sz w:val="20"/>
      <w:szCs w:val="20"/>
    </w:rPr>
  </w:style>
  <w:style w:type="paragraph" w:styleId="Objetducommentaire">
    <w:name w:val="annotation subject"/>
    <w:basedOn w:val="Commentaire"/>
    <w:next w:val="Commentaire"/>
    <w:link w:val="ObjetducommentaireCar"/>
    <w:uiPriority w:val="99"/>
    <w:semiHidden/>
    <w:unhideWhenUsed/>
    <w:rsid w:val="00DE5825"/>
    <w:rPr>
      <w:b/>
      <w:bCs/>
    </w:rPr>
  </w:style>
  <w:style w:type="character" w:customStyle="1" w:styleId="ObjetducommentaireCar">
    <w:name w:val="Objet du commentaire Car"/>
    <w:basedOn w:val="CommentaireCar"/>
    <w:link w:val="Objetducommentaire"/>
    <w:uiPriority w:val="99"/>
    <w:semiHidden/>
    <w:rsid w:val="00DE5825"/>
    <w:rPr>
      <w:b/>
      <w:bCs/>
      <w:sz w:val="20"/>
      <w:szCs w:val="20"/>
    </w:rPr>
  </w:style>
  <w:style w:type="paragraph" w:styleId="En-tte">
    <w:name w:val="header"/>
    <w:basedOn w:val="Normal"/>
    <w:link w:val="En-tteCar"/>
    <w:uiPriority w:val="99"/>
    <w:unhideWhenUsed/>
    <w:rsid w:val="00DE5825"/>
    <w:pPr>
      <w:tabs>
        <w:tab w:val="center" w:pos="4536"/>
        <w:tab w:val="right" w:pos="9072"/>
      </w:tabs>
      <w:spacing w:after="0" w:line="240" w:lineRule="auto"/>
    </w:pPr>
  </w:style>
  <w:style w:type="character" w:customStyle="1" w:styleId="En-tteCar">
    <w:name w:val="En-tête Car"/>
    <w:basedOn w:val="Policepardfaut"/>
    <w:link w:val="En-tte"/>
    <w:uiPriority w:val="99"/>
    <w:rsid w:val="00DE5825"/>
  </w:style>
  <w:style w:type="paragraph" w:styleId="Pieddepage">
    <w:name w:val="footer"/>
    <w:basedOn w:val="Normal"/>
    <w:link w:val="PieddepageCar"/>
    <w:uiPriority w:val="99"/>
    <w:unhideWhenUsed/>
    <w:rsid w:val="00DE58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5825"/>
  </w:style>
  <w:style w:type="paragraph" w:styleId="Textebrut">
    <w:name w:val="Plain Text"/>
    <w:basedOn w:val="Normal"/>
    <w:link w:val="TextebrutCar"/>
    <w:uiPriority w:val="99"/>
    <w:unhideWhenUsed/>
    <w:rsid w:val="00DE5825"/>
    <w:pPr>
      <w:autoSpaceDN w:val="0"/>
      <w:spacing w:after="0" w:line="240" w:lineRule="auto"/>
    </w:pPr>
    <w:rPr>
      <w:rFonts w:ascii="Calibri" w:eastAsia="Calibri" w:hAnsi="Calibri" w:cs="Times New Roman"/>
      <w:szCs w:val="21"/>
      <w:lang w:val="x-none"/>
    </w:rPr>
  </w:style>
  <w:style w:type="character" w:customStyle="1" w:styleId="TextebrutCar">
    <w:name w:val="Texte brut Car"/>
    <w:basedOn w:val="Policepardfaut"/>
    <w:link w:val="Textebrut"/>
    <w:uiPriority w:val="99"/>
    <w:rsid w:val="00DE5825"/>
    <w:rPr>
      <w:rFonts w:ascii="Calibri" w:eastAsia="Calibri" w:hAnsi="Calibri" w:cs="Times New Roman"/>
      <w:szCs w:val="21"/>
      <w:lang w:val="x-none"/>
    </w:rPr>
  </w:style>
  <w:style w:type="paragraph" w:styleId="Notedebasdepage">
    <w:name w:val="footnote text"/>
    <w:basedOn w:val="Normal"/>
    <w:link w:val="NotedebasdepageCar"/>
    <w:rsid w:val="00DE5825"/>
    <w:pPr>
      <w:spacing w:after="0" w:line="240" w:lineRule="auto"/>
    </w:pPr>
    <w:rPr>
      <w:rFonts w:ascii="Calibri" w:eastAsia="Calibri" w:hAnsi="Calibri" w:cs="Times New Roman"/>
      <w:sz w:val="20"/>
      <w:szCs w:val="20"/>
      <w:lang w:val="x-none"/>
    </w:rPr>
  </w:style>
  <w:style w:type="character" w:customStyle="1" w:styleId="NotedebasdepageCar">
    <w:name w:val="Note de bas de page Car"/>
    <w:basedOn w:val="Policepardfaut"/>
    <w:link w:val="Notedebasdepage"/>
    <w:uiPriority w:val="99"/>
    <w:rsid w:val="00DE5825"/>
    <w:rPr>
      <w:rFonts w:ascii="Calibri" w:eastAsia="Calibri" w:hAnsi="Calibri" w:cs="Times New Roman"/>
      <w:sz w:val="20"/>
      <w:szCs w:val="20"/>
      <w:lang w:val="x-none"/>
    </w:rPr>
  </w:style>
  <w:style w:type="character" w:styleId="Appelnotedebasdep">
    <w:name w:val="footnote reference"/>
    <w:rsid w:val="00DE5825"/>
    <w:rPr>
      <w:rFonts w:cs="Times New Roman"/>
      <w:vertAlign w:val="superscript"/>
    </w:rPr>
  </w:style>
  <w:style w:type="paragraph" w:styleId="NormalWeb">
    <w:name w:val="Normal (Web)"/>
    <w:basedOn w:val="Normal"/>
    <w:uiPriority w:val="99"/>
    <w:semiHidden/>
    <w:unhideWhenUsed/>
    <w:rsid w:val="00DE582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encadre">
    <w:name w:val="titre-encadre"/>
    <w:basedOn w:val="Normal"/>
    <w:rsid w:val="00DE582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DE5825"/>
    <w:rPr>
      <w:color w:val="0000FF"/>
      <w:u w:val="single"/>
    </w:rPr>
  </w:style>
  <w:style w:type="character" w:customStyle="1" w:styleId="pw-button-countercount">
    <w:name w:val="pw-button-counter__count"/>
    <w:basedOn w:val="Policepardfaut"/>
    <w:rsid w:val="00DE5825"/>
  </w:style>
  <w:style w:type="paragraph" w:customStyle="1" w:styleId="annexe">
    <w:name w:val="annexe"/>
    <w:basedOn w:val="Normal"/>
    <w:rsid w:val="00DE582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nnexe1">
    <w:name w:val="annexe1"/>
    <w:basedOn w:val="Policepardfaut"/>
    <w:rsid w:val="00DE5825"/>
  </w:style>
  <w:style w:type="table" w:styleId="Grilledutableau">
    <w:name w:val="Table Grid"/>
    <w:basedOn w:val="TableauNormal"/>
    <w:uiPriority w:val="59"/>
    <w:rsid w:val="00DE58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D436D8"/>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D436D8"/>
    <w:pPr>
      <w:outlineLvl w:val="9"/>
    </w:pPr>
    <w:rPr>
      <w:lang w:eastAsia="fr-FR"/>
    </w:rPr>
  </w:style>
  <w:style w:type="paragraph" w:styleId="TM2">
    <w:name w:val="toc 2"/>
    <w:basedOn w:val="Normal"/>
    <w:next w:val="Normal"/>
    <w:autoRedefine/>
    <w:uiPriority w:val="39"/>
    <w:unhideWhenUsed/>
    <w:qFormat/>
    <w:rsid w:val="00D436D8"/>
    <w:pPr>
      <w:spacing w:after="0"/>
      <w:ind w:left="220"/>
    </w:pPr>
    <w:rPr>
      <w:rFonts w:cstheme="minorHAnsi"/>
      <w:smallCaps/>
      <w:sz w:val="20"/>
      <w:szCs w:val="20"/>
    </w:rPr>
  </w:style>
  <w:style w:type="paragraph" w:styleId="TM1">
    <w:name w:val="toc 1"/>
    <w:basedOn w:val="Normal"/>
    <w:next w:val="Normal"/>
    <w:autoRedefine/>
    <w:uiPriority w:val="39"/>
    <w:unhideWhenUsed/>
    <w:qFormat/>
    <w:rsid w:val="002A2CF1"/>
    <w:pPr>
      <w:spacing w:before="120" w:after="120"/>
    </w:pPr>
    <w:rPr>
      <w:rFonts w:cstheme="minorHAnsi"/>
      <w:b/>
      <w:bCs/>
      <w:caps/>
      <w:sz w:val="20"/>
      <w:szCs w:val="20"/>
    </w:rPr>
  </w:style>
  <w:style w:type="paragraph" w:styleId="TM3">
    <w:name w:val="toc 3"/>
    <w:basedOn w:val="Normal"/>
    <w:next w:val="Normal"/>
    <w:autoRedefine/>
    <w:uiPriority w:val="39"/>
    <w:unhideWhenUsed/>
    <w:qFormat/>
    <w:rsid w:val="00D436D8"/>
    <w:pPr>
      <w:spacing w:after="0"/>
      <w:ind w:left="440"/>
    </w:pPr>
    <w:rPr>
      <w:rFonts w:cstheme="minorHAnsi"/>
      <w:i/>
      <w:iCs/>
      <w:sz w:val="20"/>
      <w:szCs w:val="20"/>
    </w:rPr>
  </w:style>
  <w:style w:type="character" w:styleId="Numrodepage">
    <w:name w:val="page number"/>
    <w:basedOn w:val="Policepardfaut"/>
    <w:uiPriority w:val="99"/>
    <w:unhideWhenUsed/>
    <w:rsid w:val="00BD3F85"/>
  </w:style>
  <w:style w:type="paragraph" w:styleId="Sansinterligne">
    <w:name w:val="No Spacing"/>
    <w:link w:val="SansinterligneCar"/>
    <w:uiPriority w:val="1"/>
    <w:qFormat/>
    <w:rsid w:val="00BD3F8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D3F85"/>
    <w:rPr>
      <w:rFonts w:eastAsiaTheme="minorEastAsia"/>
      <w:lang w:eastAsia="fr-FR"/>
    </w:rPr>
  </w:style>
  <w:style w:type="paragraph" w:customStyle="1" w:styleId="COPIESAS1">
    <w:name w:val="COPIESAS 1"/>
    <w:basedOn w:val="Normal"/>
    <w:link w:val="COPIESAS1Car"/>
    <w:qFormat/>
    <w:rsid w:val="00993C3C"/>
    <w:pPr>
      <w:pBdr>
        <w:top w:val="single" w:sz="4" w:space="1" w:color="auto"/>
        <w:left w:val="single" w:sz="4" w:space="4" w:color="auto"/>
        <w:bottom w:val="single" w:sz="4" w:space="1" w:color="auto"/>
        <w:right w:val="single" w:sz="4" w:space="4" w:color="auto"/>
      </w:pBdr>
      <w:shd w:val="pct10" w:color="auto" w:fill="auto"/>
      <w:jc w:val="center"/>
    </w:pPr>
    <w:rPr>
      <w:b/>
      <w:sz w:val="32"/>
    </w:rPr>
  </w:style>
  <w:style w:type="character" w:customStyle="1" w:styleId="COPIESAS1Car">
    <w:name w:val="COPIESAS 1 Car"/>
    <w:basedOn w:val="Policepardfaut"/>
    <w:link w:val="COPIESAS1"/>
    <w:rsid w:val="00993C3C"/>
    <w:rPr>
      <w:b/>
      <w:sz w:val="32"/>
      <w:shd w:val="pct10" w:color="auto" w:fill="auto"/>
    </w:rPr>
  </w:style>
  <w:style w:type="character" w:styleId="Accentuation">
    <w:name w:val="Emphasis"/>
    <w:basedOn w:val="Policepardfaut"/>
    <w:uiPriority w:val="20"/>
    <w:qFormat/>
    <w:rsid w:val="00797D54"/>
    <w:rPr>
      <w:i/>
      <w:iCs/>
    </w:rPr>
  </w:style>
  <w:style w:type="paragraph" w:customStyle="1" w:styleId="COPIESAS2">
    <w:name w:val="COPIESAS 2"/>
    <w:basedOn w:val="Normal"/>
    <w:link w:val="COPIESAS2Car"/>
    <w:qFormat/>
    <w:rsid w:val="004D7BFA"/>
    <w:pPr>
      <w:jc w:val="both"/>
    </w:pPr>
    <w:rPr>
      <w:b/>
    </w:rPr>
  </w:style>
  <w:style w:type="paragraph" w:customStyle="1" w:styleId="COPIESASProposition">
    <w:name w:val="COPIESAS Proposition"/>
    <w:basedOn w:val="Normal"/>
    <w:link w:val="COPIESASPropositionCar"/>
    <w:qFormat/>
    <w:rsid w:val="004D7BFA"/>
    <w:pPr>
      <w:pBdr>
        <w:top w:val="single" w:sz="4" w:space="1" w:color="auto"/>
        <w:left w:val="single" w:sz="4" w:space="4" w:color="auto"/>
        <w:bottom w:val="single" w:sz="4" w:space="1" w:color="auto"/>
        <w:right w:val="single" w:sz="4" w:space="4" w:color="auto"/>
      </w:pBdr>
      <w:jc w:val="both"/>
    </w:pPr>
    <w:rPr>
      <w:i/>
    </w:rPr>
  </w:style>
  <w:style w:type="character" w:customStyle="1" w:styleId="COPIESAS2Car">
    <w:name w:val="COPIESAS 2 Car"/>
    <w:basedOn w:val="Policepardfaut"/>
    <w:link w:val="COPIESAS2"/>
    <w:rsid w:val="004D7BFA"/>
    <w:rPr>
      <w:b/>
    </w:rPr>
  </w:style>
  <w:style w:type="character" w:customStyle="1" w:styleId="COPIESASPropositionCar">
    <w:name w:val="COPIESAS Proposition Car"/>
    <w:basedOn w:val="Policepardfaut"/>
    <w:link w:val="COPIESASProposition"/>
    <w:rsid w:val="004D7BFA"/>
    <w:rPr>
      <w:i/>
    </w:rPr>
  </w:style>
  <w:style w:type="paragraph" w:styleId="TM4">
    <w:name w:val="toc 4"/>
    <w:basedOn w:val="Normal"/>
    <w:next w:val="Normal"/>
    <w:autoRedefine/>
    <w:uiPriority w:val="39"/>
    <w:unhideWhenUsed/>
    <w:rsid w:val="00677630"/>
    <w:pPr>
      <w:spacing w:after="0"/>
      <w:ind w:left="660"/>
    </w:pPr>
    <w:rPr>
      <w:rFonts w:cstheme="minorHAnsi"/>
      <w:sz w:val="18"/>
      <w:szCs w:val="18"/>
    </w:rPr>
  </w:style>
  <w:style w:type="paragraph" w:styleId="TM5">
    <w:name w:val="toc 5"/>
    <w:basedOn w:val="Normal"/>
    <w:next w:val="Normal"/>
    <w:autoRedefine/>
    <w:uiPriority w:val="39"/>
    <w:unhideWhenUsed/>
    <w:rsid w:val="00677630"/>
    <w:pPr>
      <w:spacing w:after="0"/>
      <w:ind w:left="880"/>
    </w:pPr>
    <w:rPr>
      <w:rFonts w:cstheme="minorHAnsi"/>
      <w:sz w:val="18"/>
      <w:szCs w:val="18"/>
    </w:rPr>
  </w:style>
  <w:style w:type="paragraph" w:styleId="TM6">
    <w:name w:val="toc 6"/>
    <w:basedOn w:val="Normal"/>
    <w:next w:val="Normal"/>
    <w:autoRedefine/>
    <w:uiPriority w:val="39"/>
    <w:unhideWhenUsed/>
    <w:rsid w:val="00677630"/>
    <w:pPr>
      <w:spacing w:after="0"/>
      <w:ind w:left="1100"/>
    </w:pPr>
    <w:rPr>
      <w:rFonts w:cstheme="minorHAnsi"/>
      <w:sz w:val="18"/>
      <w:szCs w:val="18"/>
    </w:rPr>
  </w:style>
  <w:style w:type="paragraph" w:styleId="TM7">
    <w:name w:val="toc 7"/>
    <w:basedOn w:val="Normal"/>
    <w:next w:val="Normal"/>
    <w:autoRedefine/>
    <w:uiPriority w:val="39"/>
    <w:unhideWhenUsed/>
    <w:rsid w:val="00677630"/>
    <w:pPr>
      <w:spacing w:after="0"/>
      <w:ind w:left="1320"/>
    </w:pPr>
    <w:rPr>
      <w:rFonts w:cstheme="minorHAnsi"/>
      <w:sz w:val="18"/>
      <w:szCs w:val="18"/>
    </w:rPr>
  </w:style>
  <w:style w:type="paragraph" w:styleId="TM8">
    <w:name w:val="toc 8"/>
    <w:basedOn w:val="Normal"/>
    <w:next w:val="Normal"/>
    <w:autoRedefine/>
    <w:uiPriority w:val="39"/>
    <w:unhideWhenUsed/>
    <w:rsid w:val="00677630"/>
    <w:pPr>
      <w:spacing w:after="0"/>
      <w:ind w:left="1540"/>
    </w:pPr>
    <w:rPr>
      <w:rFonts w:cstheme="minorHAnsi"/>
      <w:sz w:val="18"/>
      <w:szCs w:val="18"/>
    </w:rPr>
  </w:style>
  <w:style w:type="paragraph" w:styleId="TM9">
    <w:name w:val="toc 9"/>
    <w:basedOn w:val="Normal"/>
    <w:next w:val="Normal"/>
    <w:autoRedefine/>
    <w:uiPriority w:val="39"/>
    <w:unhideWhenUsed/>
    <w:rsid w:val="00677630"/>
    <w:pPr>
      <w:spacing w:after="0"/>
      <w:ind w:left="1760"/>
    </w:pPr>
    <w:rPr>
      <w:rFonts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436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F151D3"/>
    <w:pPr>
      <w:ind w:left="720"/>
      <w:contextualSpacing/>
    </w:pPr>
  </w:style>
  <w:style w:type="paragraph" w:styleId="Textedebulles">
    <w:name w:val="Balloon Text"/>
    <w:basedOn w:val="Normal"/>
    <w:link w:val="TextedebullesCar"/>
    <w:uiPriority w:val="99"/>
    <w:semiHidden/>
    <w:unhideWhenUsed/>
    <w:rsid w:val="00DE58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5825"/>
    <w:rPr>
      <w:rFonts w:ascii="Tahoma" w:hAnsi="Tahoma" w:cs="Tahoma"/>
      <w:sz w:val="16"/>
      <w:szCs w:val="16"/>
    </w:rPr>
  </w:style>
  <w:style w:type="character" w:styleId="Marquedecommentaire">
    <w:name w:val="annotation reference"/>
    <w:basedOn w:val="Policepardfaut"/>
    <w:uiPriority w:val="99"/>
    <w:semiHidden/>
    <w:unhideWhenUsed/>
    <w:rsid w:val="00DE5825"/>
    <w:rPr>
      <w:sz w:val="16"/>
      <w:szCs w:val="16"/>
    </w:rPr>
  </w:style>
  <w:style w:type="paragraph" w:styleId="Commentaire">
    <w:name w:val="annotation text"/>
    <w:basedOn w:val="Normal"/>
    <w:link w:val="CommentaireCar"/>
    <w:uiPriority w:val="99"/>
    <w:semiHidden/>
    <w:unhideWhenUsed/>
    <w:rsid w:val="00DE5825"/>
    <w:pPr>
      <w:spacing w:line="240" w:lineRule="auto"/>
    </w:pPr>
    <w:rPr>
      <w:sz w:val="20"/>
      <w:szCs w:val="20"/>
    </w:rPr>
  </w:style>
  <w:style w:type="character" w:customStyle="1" w:styleId="CommentaireCar">
    <w:name w:val="Commentaire Car"/>
    <w:basedOn w:val="Policepardfaut"/>
    <w:link w:val="Commentaire"/>
    <w:uiPriority w:val="99"/>
    <w:semiHidden/>
    <w:rsid w:val="00DE5825"/>
    <w:rPr>
      <w:sz w:val="20"/>
      <w:szCs w:val="20"/>
    </w:rPr>
  </w:style>
  <w:style w:type="paragraph" w:styleId="Objetducommentaire">
    <w:name w:val="annotation subject"/>
    <w:basedOn w:val="Commentaire"/>
    <w:next w:val="Commentaire"/>
    <w:link w:val="ObjetducommentaireCar"/>
    <w:uiPriority w:val="99"/>
    <w:semiHidden/>
    <w:unhideWhenUsed/>
    <w:rsid w:val="00DE5825"/>
    <w:rPr>
      <w:b/>
      <w:bCs/>
    </w:rPr>
  </w:style>
  <w:style w:type="character" w:customStyle="1" w:styleId="ObjetducommentaireCar">
    <w:name w:val="Objet du commentaire Car"/>
    <w:basedOn w:val="CommentaireCar"/>
    <w:link w:val="Objetducommentaire"/>
    <w:uiPriority w:val="99"/>
    <w:semiHidden/>
    <w:rsid w:val="00DE5825"/>
    <w:rPr>
      <w:b/>
      <w:bCs/>
      <w:sz w:val="20"/>
      <w:szCs w:val="20"/>
    </w:rPr>
  </w:style>
  <w:style w:type="paragraph" w:styleId="En-tte">
    <w:name w:val="header"/>
    <w:basedOn w:val="Normal"/>
    <w:link w:val="En-tteCar"/>
    <w:uiPriority w:val="99"/>
    <w:unhideWhenUsed/>
    <w:rsid w:val="00DE5825"/>
    <w:pPr>
      <w:tabs>
        <w:tab w:val="center" w:pos="4536"/>
        <w:tab w:val="right" w:pos="9072"/>
      </w:tabs>
      <w:spacing w:after="0" w:line="240" w:lineRule="auto"/>
    </w:pPr>
  </w:style>
  <w:style w:type="character" w:customStyle="1" w:styleId="En-tteCar">
    <w:name w:val="En-tête Car"/>
    <w:basedOn w:val="Policepardfaut"/>
    <w:link w:val="En-tte"/>
    <w:uiPriority w:val="99"/>
    <w:rsid w:val="00DE5825"/>
  </w:style>
  <w:style w:type="paragraph" w:styleId="Pieddepage">
    <w:name w:val="footer"/>
    <w:basedOn w:val="Normal"/>
    <w:link w:val="PieddepageCar"/>
    <w:uiPriority w:val="99"/>
    <w:unhideWhenUsed/>
    <w:rsid w:val="00DE58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5825"/>
  </w:style>
  <w:style w:type="paragraph" w:styleId="Textebrut">
    <w:name w:val="Plain Text"/>
    <w:basedOn w:val="Normal"/>
    <w:link w:val="TextebrutCar"/>
    <w:uiPriority w:val="99"/>
    <w:unhideWhenUsed/>
    <w:rsid w:val="00DE5825"/>
    <w:pPr>
      <w:autoSpaceDN w:val="0"/>
      <w:spacing w:after="0" w:line="240" w:lineRule="auto"/>
    </w:pPr>
    <w:rPr>
      <w:rFonts w:ascii="Calibri" w:eastAsia="Calibri" w:hAnsi="Calibri" w:cs="Times New Roman"/>
      <w:szCs w:val="21"/>
      <w:lang w:val="x-none"/>
    </w:rPr>
  </w:style>
  <w:style w:type="character" w:customStyle="1" w:styleId="TextebrutCar">
    <w:name w:val="Texte brut Car"/>
    <w:basedOn w:val="Policepardfaut"/>
    <w:link w:val="Textebrut"/>
    <w:uiPriority w:val="99"/>
    <w:rsid w:val="00DE5825"/>
    <w:rPr>
      <w:rFonts w:ascii="Calibri" w:eastAsia="Calibri" w:hAnsi="Calibri" w:cs="Times New Roman"/>
      <w:szCs w:val="21"/>
      <w:lang w:val="x-none"/>
    </w:rPr>
  </w:style>
  <w:style w:type="paragraph" w:styleId="Notedebasdepage">
    <w:name w:val="footnote text"/>
    <w:basedOn w:val="Normal"/>
    <w:link w:val="NotedebasdepageCar"/>
    <w:rsid w:val="00DE5825"/>
    <w:pPr>
      <w:spacing w:after="0" w:line="240" w:lineRule="auto"/>
    </w:pPr>
    <w:rPr>
      <w:rFonts w:ascii="Calibri" w:eastAsia="Calibri" w:hAnsi="Calibri" w:cs="Times New Roman"/>
      <w:sz w:val="20"/>
      <w:szCs w:val="20"/>
      <w:lang w:val="x-none"/>
    </w:rPr>
  </w:style>
  <w:style w:type="character" w:customStyle="1" w:styleId="NotedebasdepageCar">
    <w:name w:val="Note de bas de page Car"/>
    <w:basedOn w:val="Policepardfaut"/>
    <w:link w:val="Notedebasdepage"/>
    <w:uiPriority w:val="99"/>
    <w:rsid w:val="00DE5825"/>
    <w:rPr>
      <w:rFonts w:ascii="Calibri" w:eastAsia="Calibri" w:hAnsi="Calibri" w:cs="Times New Roman"/>
      <w:sz w:val="20"/>
      <w:szCs w:val="20"/>
      <w:lang w:val="x-none"/>
    </w:rPr>
  </w:style>
  <w:style w:type="character" w:styleId="Appelnotedebasdep">
    <w:name w:val="footnote reference"/>
    <w:rsid w:val="00DE5825"/>
    <w:rPr>
      <w:rFonts w:cs="Times New Roman"/>
      <w:vertAlign w:val="superscript"/>
    </w:rPr>
  </w:style>
  <w:style w:type="paragraph" w:styleId="NormalWeb">
    <w:name w:val="Normal (Web)"/>
    <w:basedOn w:val="Normal"/>
    <w:uiPriority w:val="99"/>
    <w:semiHidden/>
    <w:unhideWhenUsed/>
    <w:rsid w:val="00DE582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encadre">
    <w:name w:val="titre-encadre"/>
    <w:basedOn w:val="Normal"/>
    <w:rsid w:val="00DE582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DE5825"/>
    <w:rPr>
      <w:color w:val="0000FF"/>
      <w:u w:val="single"/>
    </w:rPr>
  </w:style>
  <w:style w:type="character" w:customStyle="1" w:styleId="pw-button-countercount">
    <w:name w:val="pw-button-counter__count"/>
    <w:basedOn w:val="Policepardfaut"/>
    <w:rsid w:val="00DE5825"/>
  </w:style>
  <w:style w:type="paragraph" w:customStyle="1" w:styleId="annexe">
    <w:name w:val="annexe"/>
    <w:basedOn w:val="Normal"/>
    <w:rsid w:val="00DE582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nnexe1">
    <w:name w:val="annexe1"/>
    <w:basedOn w:val="Policepardfaut"/>
    <w:rsid w:val="00DE5825"/>
  </w:style>
  <w:style w:type="table" w:styleId="Grilledutableau">
    <w:name w:val="Table Grid"/>
    <w:basedOn w:val="TableauNormal"/>
    <w:uiPriority w:val="59"/>
    <w:rsid w:val="00DE58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D436D8"/>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D436D8"/>
    <w:pPr>
      <w:outlineLvl w:val="9"/>
    </w:pPr>
    <w:rPr>
      <w:lang w:eastAsia="fr-FR"/>
    </w:rPr>
  </w:style>
  <w:style w:type="paragraph" w:styleId="TM2">
    <w:name w:val="toc 2"/>
    <w:basedOn w:val="Normal"/>
    <w:next w:val="Normal"/>
    <w:autoRedefine/>
    <w:uiPriority w:val="39"/>
    <w:unhideWhenUsed/>
    <w:qFormat/>
    <w:rsid w:val="00D436D8"/>
    <w:pPr>
      <w:spacing w:after="0"/>
      <w:ind w:left="220"/>
    </w:pPr>
    <w:rPr>
      <w:rFonts w:cstheme="minorHAnsi"/>
      <w:smallCaps/>
      <w:sz w:val="20"/>
      <w:szCs w:val="20"/>
    </w:rPr>
  </w:style>
  <w:style w:type="paragraph" w:styleId="TM1">
    <w:name w:val="toc 1"/>
    <w:basedOn w:val="Normal"/>
    <w:next w:val="Normal"/>
    <w:autoRedefine/>
    <w:uiPriority w:val="39"/>
    <w:unhideWhenUsed/>
    <w:qFormat/>
    <w:rsid w:val="002A2CF1"/>
    <w:pPr>
      <w:spacing w:before="120" w:after="120"/>
    </w:pPr>
    <w:rPr>
      <w:rFonts w:cstheme="minorHAnsi"/>
      <w:b/>
      <w:bCs/>
      <w:caps/>
      <w:sz w:val="20"/>
      <w:szCs w:val="20"/>
    </w:rPr>
  </w:style>
  <w:style w:type="paragraph" w:styleId="TM3">
    <w:name w:val="toc 3"/>
    <w:basedOn w:val="Normal"/>
    <w:next w:val="Normal"/>
    <w:autoRedefine/>
    <w:uiPriority w:val="39"/>
    <w:unhideWhenUsed/>
    <w:qFormat/>
    <w:rsid w:val="00D436D8"/>
    <w:pPr>
      <w:spacing w:after="0"/>
      <w:ind w:left="440"/>
    </w:pPr>
    <w:rPr>
      <w:rFonts w:cstheme="minorHAnsi"/>
      <w:i/>
      <w:iCs/>
      <w:sz w:val="20"/>
      <w:szCs w:val="20"/>
    </w:rPr>
  </w:style>
  <w:style w:type="character" w:styleId="Numrodepage">
    <w:name w:val="page number"/>
    <w:basedOn w:val="Policepardfaut"/>
    <w:uiPriority w:val="99"/>
    <w:unhideWhenUsed/>
    <w:rsid w:val="00BD3F85"/>
  </w:style>
  <w:style w:type="paragraph" w:styleId="Sansinterligne">
    <w:name w:val="No Spacing"/>
    <w:link w:val="SansinterligneCar"/>
    <w:uiPriority w:val="1"/>
    <w:qFormat/>
    <w:rsid w:val="00BD3F8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D3F85"/>
    <w:rPr>
      <w:rFonts w:eastAsiaTheme="minorEastAsia"/>
      <w:lang w:eastAsia="fr-FR"/>
    </w:rPr>
  </w:style>
  <w:style w:type="paragraph" w:customStyle="1" w:styleId="COPIESAS1">
    <w:name w:val="COPIESAS 1"/>
    <w:basedOn w:val="Normal"/>
    <w:link w:val="COPIESAS1Car"/>
    <w:qFormat/>
    <w:rsid w:val="00993C3C"/>
    <w:pPr>
      <w:pBdr>
        <w:top w:val="single" w:sz="4" w:space="1" w:color="auto"/>
        <w:left w:val="single" w:sz="4" w:space="4" w:color="auto"/>
        <w:bottom w:val="single" w:sz="4" w:space="1" w:color="auto"/>
        <w:right w:val="single" w:sz="4" w:space="4" w:color="auto"/>
      </w:pBdr>
      <w:shd w:val="pct10" w:color="auto" w:fill="auto"/>
      <w:jc w:val="center"/>
    </w:pPr>
    <w:rPr>
      <w:b/>
      <w:sz w:val="32"/>
    </w:rPr>
  </w:style>
  <w:style w:type="character" w:customStyle="1" w:styleId="COPIESAS1Car">
    <w:name w:val="COPIESAS 1 Car"/>
    <w:basedOn w:val="Policepardfaut"/>
    <w:link w:val="COPIESAS1"/>
    <w:rsid w:val="00993C3C"/>
    <w:rPr>
      <w:b/>
      <w:sz w:val="32"/>
      <w:shd w:val="pct10" w:color="auto" w:fill="auto"/>
    </w:rPr>
  </w:style>
  <w:style w:type="character" w:styleId="Accentuation">
    <w:name w:val="Emphasis"/>
    <w:basedOn w:val="Policepardfaut"/>
    <w:uiPriority w:val="20"/>
    <w:qFormat/>
    <w:rsid w:val="00797D54"/>
    <w:rPr>
      <w:i/>
      <w:iCs/>
    </w:rPr>
  </w:style>
  <w:style w:type="paragraph" w:customStyle="1" w:styleId="COPIESAS2">
    <w:name w:val="COPIESAS 2"/>
    <w:basedOn w:val="Normal"/>
    <w:link w:val="COPIESAS2Car"/>
    <w:qFormat/>
    <w:rsid w:val="004D7BFA"/>
    <w:pPr>
      <w:jc w:val="both"/>
    </w:pPr>
    <w:rPr>
      <w:b/>
    </w:rPr>
  </w:style>
  <w:style w:type="paragraph" w:customStyle="1" w:styleId="COPIESASProposition">
    <w:name w:val="COPIESAS Proposition"/>
    <w:basedOn w:val="Normal"/>
    <w:link w:val="COPIESASPropositionCar"/>
    <w:qFormat/>
    <w:rsid w:val="004D7BFA"/>
    <w:pPr>
      <w:pBdr>
        <w:top w:val="single" w:sz="4" w:space="1" w:color="auto"/>
        <w:left w:val="single" w:sz="4" w:space="4" w:color="auto"/>
        <w:bottom w:val="single" w:sz="4" w:space="1" w:color="auto"/>
        <w:right w:val="single" w:sz="4" w:space="4" w:color="auto"/>
      </w:pBdr>
      <w:jc w:val="both"/>
    </w:pPr>
    <w:rPr>
      <w:i/>
    </w:rPr>
  </w:style>
  <w:style w:type="character" w:customStyle="1" w:styleId="COPIESAS2Car">
    <w:name w:val="COPIESAS 2 Car"/>
    <w:basedOn w:val="Policepardfaut"/>
    <w:link w:val="COPIESAS2"/>
    <w:rsid w:val="004D7BFA"/>
    <w:rPr>
      <w:b/>
    </w:rPr>
  </w:style>
  <w:style w:type="character" w:customStyle="1" w:styleId="COPIESASPropositionCar">
    <w:name w:val="COPIESAS Proposition Car"/>
    <w:basedOn w:val="Policepardfaut"/>
    <w:link w:val="COPIESASProposition"/>
    <w:rsid w:val="004D7BFA"/>
    <w:rPr>
      <w:i/>
    </w:rPr>
  </w:style>
  <w:style w:type="paragraph" w:styleId="TM4">
    <w:name w:val="toc 4"/>
    <w:basedOn w:val="Normal"/>
    <w:next w:val="Normal"/>
    <w:autoRedefine/>
    <w:uiPriority w:val="39"/>
    <w:unhideWhenUsed/>
    <w:rsid w:val="00677630"/>
    <w:pPr>
      <w:spacing w:after="0"/>
      <w:ind w:left="660"/>
    </w:pPr>
    <w:rPr>
      <w:rFonts w:cstheme="minorHAnsi"/>
      <w:sz w:val="18"/>
      <w:szCs w:val="18"/>
    </w:rPr>
  </w:style>
  <w:style w:type="paragraph" w:styleId="TM5">
    <w:name w:val="toc 5"/>
    <w:basedOn w:val="Normal"/>
    <w:next w:val="Normal"/>
    <w:autoRedefine/>
    <w:uiPriority w:val="39"/>
    <w:unhideWhenUsed/>
    <w:rsid w:val="00677630"/>
    <w:pPr>
      <w:spacing w:after="0"/>
      <w:ind w:left="880"/>
    </w:pPr>
    <w:rPr>
      <w:rFonts w:cstheme="minorHAnsi"/>
      <w:sz w:val="18"/>
      <w:szCs w:val="18"/>
    </w:rPr>
  </w:style>
  <w:style w:type="paragraph" w:styleId="TM6">
    <w:name w:val="toc 6"/>
    <w:basedOn w:val="Normal"/>
    <w:next w:val="Normal"/>
    <w:autoRedefine/>
    <w:uiPriority w:val="39"/>
    <w:unhideWhenUsed/>
    <w:rsid w:val="00677630"/>
    <w:pPr>
      <w:spacing w:after="0"/>
      <w:ind w:left="1100"/>
    </w:pPr>
    <w:rPr>
      <w:rFonts w:cstheme="minorHAnsi"/>
      <w:sz w:val="18"/>
      <w:szCs w:val="18"/>
    </w:rPr>
  </w:style>
  <w:style w:type="paragraph" w:styleId="TM7">
    <w:name w:val="toc 7"/>
    <w:basedOn w:val="Normal"/>
    <w:next w:val="Normal"/>
    <w:autoRedefine/>
    <w:uiPriority w:val="39"/>
    <w:unhideWhenUsed/>
    <w:rsid w:val="00677630"/>
    <w:pPr>
      <w:spacing w:after="0"/>
      <w:ind w:left="1320"/>
    </w:pPr>
    <w:rPr>
      <w:rFonts w:cstheme="minorHAnsi"/>
      <w:sz w:val="18"/>
      <w:szCs w:val="18"/>
    </w:rPr>
  </w:style>
  <w:style w:type="paragraph" w:styleId="TM8">
    <w:name w:val="toc 8"/>
    <w:basedOn w:val="Normal"/>
    <w:next w:val="Normal"/>
    <w:autoRedefine/>
    <w:uiPriority w:val="39"/>
    <w:unhideWhenUsed/>
    <w:rsid w:val="00677630"/>
    <w:pPr>
      <w:spacing w:after="0"/>
      <w:ind w:left="1540"/>
    </w:pPr>
    <w:rPr>
      <w:rFonts w:cstheme="minorHAnsi"/>
      <w:sz w:val="18"/>
      <w:szCs w:val="18"/>
    </w:rPr>
  </w:style>
  <w:style w:type="paragraph" w:styleId="TM9">
    <w:name w:val="toc 9"/>
    <w:basedOn w:val="Normal"/>
    <w:next w:val="Normal"/>
    <w:autoRedefine/>
    <w:uiPriority w:val="39"/>
    <w:unhideWhenUsed/>
    <w:rsid w:val="00677630"/>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913140">
      <w:bodyDiv w:val="1"/>
      <w:marLeft w:val="0"/>
      <w:marRight w:val="0"/>
      <w:marTop w:val="0"/>
      <w:marBottom w:val="0"/>
      <w:divBdr>
        <w:top w:val="none" w:sz="0" w:space="0" w:color="auto"/>
        <w:left w:val="none" w:sz="0" w:space="0" w:color="auto"/>
        <w:bottom w:val="none" w:sz="0" w:space="0" w:color="auto"/>
        <w:right w:val="none" w:sz="0" w:space="0" w:color="auto"/>
      </w:divBdr>
    </w:div>
    <w:div w:id="1155489624">
      <w:bodyDiv w:val="1"/>
      <w:marLeft w:val="0"/>
      <w:marRight w:val="0"/>
      <w:marTop w:val="0"/>
      <w:marBottom w:val="0"/>
      <w:divBdr>
        <w:top w:val="none" w:sz="0" w:space="0" w:color="auto"/>
        <w:left w:val="none" w:sz="0" w:space="0" w:color="auto"/>
        <w:bottom w:val="none" w:sz="0" w:space="0" w:color="auto"/>
        <w:right w:val="none" w:sz="0" w:space="0" w:color="auto"/>
      </w:divBdr>
    </w:div>
    <w:div w:id="178784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hyperlink" Target="https://investir.lesechos.fr/cours/action-thales,xpar,ho,fr0000121329,isin.html" TargetMode="External"/><Relationship Id="rId26"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investir.lesechos.fr/cours/action-renault,xpar,rno,fr0000131906,isin.html" TargetMode="External"/><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nvestir.lesechos.fr/cours/action-airbus-group,xpar,air,nl0000235190,isin.html"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chart" Target="charts/chart4.xml"/><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yperlink" Target="https://investir.lesechos.fr/cours/action-euronext,xpar,enx,nl0006294274,isin.html" TargetMode="External"/><Relationship Id="rId23" Type="http://schemas.openxmlformats.org/officeDocument/2006/relationships/chart" Target="charts/chart3.xml"/><Relationship Id="rId28"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image" Target="media/image4.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PRO-SVC01-41021.orion.gouv\USERS\SCS\CO_SCS\Etudes\Copiesas\Pour%20fiche%20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PRO-SVC01-41021.orion.gouv\USERS\SCS\CO_SCS\Etudes\Copiesas\Pour%20fiche%20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PRO-SVC01-41021.orion.gouv\USERS\SCS\CO_SCS\Etudes\Copiesas\Pour%20fiche%20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PRO-SVC01-41021.orion.gouv\USERS\SCS\CO_SCS\Etudes\Copiesas\Pour%20fiche%20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PRO-SVC01-41021.orion.gouv\USERS\SCS\CO_SCS\Etudes\Copiesas\Pour%20fiche%20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PRO-SVC01-41021.orion.gouv\USERS\SCS\CO_SCS\Etudes\Copiesas\Pour%20fiche%206.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268823818897638E-2"/>
          <c:y val="5.2986512524084775E-2"/>
          <c:w val="0.90108534284776898"/>
          <c:h val="0.68327256894353894"/>
        </c:manualLayout>
      </c:layout>
      <c:barChart>
        <c:barDir val="col"/>
        <c:grouping val="stacked"/>
        <c:varyColors val="0"/>
        <c:ser>
          <c:idx val="0"/>
          <c:order val="0"/>
          <c:tx>
            <c:v>entreprises versant dans les liasses</c:v>
          </c:tx>
          <c:spPr>
            <a:solidFill>
              <a:schemeClr val="tx1"/>
            </a:solidFill>
          </c:spPr>
          <c:invertIfNegative val="0"/>
          <c:cat>
            <c:strRef>
              <c:f>général!$A$18:$A$20</c:f>
              <c:strCache>
                <c:ptCount val="3"/>
                <c:pt idx="0">
                  <c:v>liasses fiscales</c:v>
                </c:pt>
                <c:pt idx="1">
                  <c:v>1/2*(BF-5%*CP)*SAL/VA</c:v>
                </c:pt>
                <c:pt idx="2">
                  <c:v>10%*BC</c:v>
                </c:pt>
              </c:strCache>
            </c:strRef>
          </c:cat>
          <c:val>
            <c:numRef>
              <c:f>général!$D$18:$D$20</c:f>
              <c:numCache>
                <c:formatCode>General</c:formatCode>
                <c:ptCount val="3"/>
                <c:pt idx="0">
                  <c:v>37</c:v>
                </c:pt>
                <c:pt idx="1">
                  <c:v>33</c:v>
                </c:pt>
                <c:pt idx="2">
                  <c:v>35</c:v>
                </c:pt>
              </c:numCache>
            </c:numRef>
          </c:val>
        </c:ser>
        <c:ser>
          <c:idx val="1"/>
          <c:order val="1"/>
          <c:tx>
            <c:v>entreprises ne versant pas dans les liasses</c:v>
          </c:tx>
          <c:invertIfNegative val="0"/>
          <c:val>
            <c:numRef>
              <c:f>général!$C$18:$C$20</c:f>
              <c:numCache>
                <c:formatCode>General</c:formatCode>
                <c:ptCount val="3"/>
                <c:pt idx="0">
                  <c:v>0</c:v>
                </c:pt>
                <c:pt idx="1">
                  <c:v>16</c:v>
                </c:pt>
                <c:pt idx="2">
                  <c:v>32</c:v>
                </c:pt>
              </c:numCache>
            </c:numRef>
          </c:val>
        </c:ser>
        <c:dLbls>
          <c:showLegendKey val="0"/>
          <c:showVal val="0"/>
          <c:showCatName val="0"/>
          <c:showSerName val="0"/>
          <c:showPercent val="0"/>
          <c:showBubbleSize val="0"/>
        </c:dLbls>
        <c:gapWidth val="150"/>
        <c:overlap val="100"/>
        <c:axId val="90847488"/>
        <c:axId val="45580288"/>
      </c:barChart>
      <c:catAx>
        <c:axId val="90847488"/>
        <c:scaling>
          <c:orientation val="minMax"/>
        </c:scaling>
        <c:delete val="0"/>
        <c:axPos val="b"/>
        <c:numFmt formatCode="General" sourceLinked="1"/>
        <c:majorTickMark val="out"/>
        <c:minorTickMark val="none"/>
        <c:tickLblPos val="nextTo"/>
        <c:crossAx val="45580288"/>
        <c:crosses val="autoZero"/>
        <c:auto val="1"/>
        <c:lblAlgn val="ctr"/>
        <c:lblOffset val="100"/>
        <c:noMultiLvlLbl val="0"/>
      </c:catAx>
      <c:valAx>
        <c:axId val="45580288"/>
        <c:scaling>
          <c:orientation val="minMax"/>
          <c:max val="70"/>
        </c:scaling>
        <c:delete val="0"/>
        <c:axPos val="l"/>
        <c:majorGridlines>
          <c:spPr>
            <a:ln>
              <a:prstDash val="sysDash"/>
            </a:ln>
          </c:spPr>
        </c:majorGridlines>
        <c:numFmt formatCode="General" sourceLinked="1"/>
        <c:majorTickMark val="out"/>
        <c:minorTickMark val="none"/>
        <c:tickLblPos val="nextTo"/>
        <c:crossAx val="90847488"/>
        <c:crosses val="autoZero"/>
        <c:crossBetween val="between"/>
      </c:valAx>
    </c:plotArea>
    <c:legend>
      <c:legendPos val="b"/>
      <c:layout>
        <c:manualLayout>
          <c:xMode val="edge"/>
          <c:yMode val="edge"/>
          <c:x val="0.11751376811824928"/>
          <c:y val="0.8604052241637683"/>
          <c:w val="0.79397371227034119"/>
          <c:h val="0.10494204932304255"/>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fr-FR"/>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tx1"/>
            </a:solidFill>
          </c:spPr>
          <c:invertIfNegative val="0"/>
          <c:cat>
            <c:strRef>
              <c:f>général!$A$2:$A$4</c:f>
              <c:strCache>
                <c:ptCount val="3"/>
                <c:pt idx="0">
                  <c:v>liasses fiscales</c:v>
                </c:pt>
                <c:pt idx="1">
                  <c:v>1/2*(BF-5%*CP)*SAL/VA</c:v>
                </c:pt>
                <c:pt idx="2">
                  <c:v>10%*BC</c:v>
                </c:pt>
              </c:strCache>
            </c:strRef>
          </c:cat>
          <c:val>
            <c:numRef>
              <c:f>général!$B$2:$B$4</c:f>
              <c:numCache>
                <c:formatCode>General</c:formatCode>
                <c:ptCount val="3"/>
                <c:pt idx="0">
                  <c:v>5.6340000000000003</c:v>
                </c:pt>
                <c:pt idx="1">
                  <c:v>7.3109999999999999</c:v>
                </c:pt>
                <c:pt idx="2">
                  <c:v>6.8949999999999996</c:v>
                </c:pt>
              </c:numCache>
            </c:numRef>
          </c:val>
        </c:ser>
        <c:dLbls>
          <c:showLegendKey val="0"/>
          <c:showVal val="0"/>
          <c:showCatName val="0"/>
          <c:showSerName val="0"/>
          <c:showPercent val="0"/>
          <c:showBubbleSize val="0"/>
        </c:dLbls>
        <c:gapWidth val="150"/>
        <c:axId val="91361280"/>
        <c:axId val="91362816"/>
      </c:barChart>
      <c:catAx>
        <c:axId val="91361280"/>
        <c:scaling>
          <c:orientation val="minMax"/>
        </c:scaling>
        <c:delete val="0"/>
        <c:axPos val="b"/>
        <c:majorTickMark val="out"/>
        <c:minorTickMark val="none"/>
        <c:tickLblPos val="nextTo"/>
        <c:crossAx val="91362816"/>
        <c:crosses val="autoZero"/>
        <c:auto val="1"/>
        <c:lblAlgn val="ctr"/>
        <c:lblOffset val="100"/>
        <c:noMultiLvlLbl val="0"/>
      </c:catAx>
      <c:valAx>
        <c:axId val="91362816"/>
        <c:scaling>
          <c:orientation val="minMax"/>
        </c:scaling>
        <c:delete val="0"/>
        <c:axPos val="l"/>
        <c:majorGridlines>
          <c:spPr>
            <a:ln>
              <a:solidFill>
                <a:schemeClr val="bg1">
                  <a:lumMod val="65000"/>
                </a:schemeClr>
              </a:solidFill>
              <a:prstDash val="sysDash"/>
            </a:ln>
          </c:spPr>
        </c:majorGridlines>
        <c:numFmt formatCode="General" sourceLinked="1"/>
        <c:majorTickMark val="out"/>
        <c:minorTickMark val="none"/>
        <c:tickLblPos val="nextTo"/>
        <c:crossAx val="91361280"/>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fr-FR"/>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268823818897638E-2"/>
          <c:y val="5.2986512524084775E-2"/>
          <c:w val="0.90108534284776898"/>
          <c:h val="0.68327256894353894"/>
        </c:manualLayout>
      </c:layout>
      <c:barChart>
        <c:barDir val="col"/>
        <c:grouping val="stacked"/>
        <c:varyColors val="0"/>
        <c:ser>
          <c:idx val="0"/>
          <c:order val="0"/>
          <c:tx>
            <c:v>entreprises versant dans les liasses</c:v>
          </c:tx>
          <c:spPr>
            <a:solidFill>
              <a:schemeClr val="tx1"/>
            </a:solidFill>
          </c:spPr>
          <c:invertIfNegative val="0"/>
          <c:cat>
            <c:strRef>
              <c:f>général!$A$18:$A$20</c:f>
              <c:strCache>
                <c:ptCount val="3"/>
                <c:pt idx="0">
                  <c:v>liasses fiscales</c:v>
                </c:pt>
                <c:pt idx="1">
                  <c:v>1/2*(BF-5%*CP)*SAL/VA</c:v>
                </c:pt>
                <c:pt idx="2">
                  <c:v>10%*BC</c:v>
                </c:pt>
              </c:strCache>
            </c:strRef>
          </c:cat>
          <c:val>
            <c:numRef>
              <c:f>général!$D$18:$D$20</c:f>
              <c:numCache>
                <c:formatCode>General</c:formatCode>
                <c:ptCount val="3"/>
                <c:pt idx="0">
                  <c:v>37</c:v>
                </c:pt>
                <c:pt idx="1">
                  <c:v>33</c:v>
                </c:pt>
                <c:pt idx="2">
                  <c:v>35</c:v>
                </c:pt>
              </c:numCache>
            </c:numRef>
          </c:val>
        </c:ser>
        <c:ser>
          <c:idx val="1"/>
          <c:order val="1"/>
          <c:tx>
            <c:v>entreprises ne versant pas dans les liasses</c:v>
          </c:tx>
          <c:invertIfNegative val="0"/>
          <c:val>
            <c:numRef>
              <c:f>général!$C$18:$C$20</c:f>
              <c:numCache>
                <c:formatCode>General</c:formatCode>
                <c:ptCount val="3"/>
                <c:pt idx="0">
                  <c:v>0</c:v>
                </c:pt>
                <c:pt idx="1">
                  <c:v>16</c:v>
                </c:pt>
                <c:pt idx="2">
                  <c:v>32</c:v>
                </c:pt>
              </c:numCache>
            </c:numRef>
          </c:val>
        </c:ser>
        <c:dLbls>
          <c:showLegendKey val="0"/>
          <c:showVal val="0"/>
          <c:showCatName val="0"/>
          <c:showSerName val="0"/>
          <c:showPercent val="0"/>
          <c:showBubbleSize val="0"/>
        </c:dLbls>
        <c:gapWidth val="150"/>
        <c:overlap val="100"/>
        <c:axId val="91412352"/>
        <c:axId val="91413888"/>
      </c:barChart>
      <c:catAx>
        <c:axId val="91412352"/>
        <c:scaling>
          <c:orientation val="minMax"/>
        </c:scaling>
        <c:delete val="0"/>
        <c:axPos val="b"/>
        <c:numFmt formatCode="General" sourceLinked="1"/>
        <c:majorTickMark val="out"/>
        <c:minorTickMark val="none"/>
        <c:tickLblPos val="nextTo"/>
        <c:crossAx val="91413888"/>
        <c:crosses val="autoZero"/>
        <c:auto val="1"/>
        <c:lblAlgn val="ctr"/>
        <c:lblOffset val="100"/>
        <c:noMultiLvlLbl val="0"/>
      </c:catAx>
      <c:valAx>
        <c:axId val="91413888"/>
        <c:scaling>
          <c:orientation val="minMax"/>
          <c:max val="70"/>
        </c:scaling>
        <c:delete val="0"/>
        <c:axPos val="l"/>
        <c:majorGridlines>
          <c:spPr>
            <a:ln>
              <a:prstDash val="sysDash"/>
            </a:ln>
          </c:spPr>
        </c:majorGridlines>
        <c:numFmt formatCode="General" sourceLinked="1"/>
        <c:majorTickMark val="out"/>
        <c:minorTickMark val="none"/>
        <c:tickLblPos val="nextTo"/>
        <c:crossAx val="91412352"/>
        <c:crosses val="autoZero"/>
        <c:crossBetween val="between"/>
      </c:valAx>
    </c:plotArea>
    <c:legend>
      <c:legendPos val="b"/>
      <c:layout>
        <c:manualLayout>
          <c:xMode val="edge"/>
          <c:yMode val="edge"/>
          <c:x val="0.11751376811824928"/>
          <c:y val="0.8604052241637683"/>
          <c:w val="0.79397371227034119"/>
          <c:h val="0.10494204932304255"/>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fr-FR"/>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tx1"/>
            </a:solidFill>
          </c:spPr>
          <c:invertIfNegative val="0"/>
          <c:cat>
            <c:strRef>
              <c:f>général!$A$2:$A$4</c:f>
              <c:strCache>
                <c:ptCount val="3"/>
                <c:pt idx="0">
                  <c:v>liasses fiscales</c:v>
                </c:pt>
                <c:pt idx="1">
                  <c:v>1/2*(BF-5%*CP)*SAL/VA</c:v>
                </c:pt>
                <c:pt idx="2">
                  <c:v>10%*BC</c:v>
                </c:pt>
              </c:strCache>
            </c:strRef>
          </c:cat>
          <c:val>
            <c:numRef>
              <c:f>général!$B$2:$B$4</c:f>
              <c:numCache>
                <c:formatCode>General</c:formatCode>
                <c:ptCount val="3"/>
                <c:pt idx="0">
                  <c:v>5.6340000000000003</c:v>
                </c:pt>
                <c:pt idx="1">
                  <c:v>7.3109999999999999</c:v>
                </c:pt>
                <c:pt idx="2">
                  <c:v>6.8949999999999996</c:v>
                </c:pt>
              </c:numCache>
            </c:numRef>
          </c:val>
        </c:ser>
        <c:dLbls>
          <c:showLegendKey val="0"/>
          <c:showVal val="0"/>
          <c:showCatName val="0"/>
          <c:showSerName val="0"/>
          <c:showPercent val="0"/>
          <c:showBubbleSize val="0"/>
        </c:dLbls>
        <c:gapWidth val="150"/>
        <c:axId val="94379392"/>
        <c:axId val="94401664"/>
      </c:barChart>
      <c:catAx>
        <c:axId val="94379392"/>
        <c:scaling>
          <c:orientation val="minMax"/>
        </c:scaling>
        <c:delete val="0"/>
        <c:axPos val="b"/>
        <c:majorTickMark val="out"/>
        <c:minorTickMark val="none"/>
        <c:tickLblPos val="nextTo"/>
        <c:crossAx val="94401664"/>
        <c:crosses val="autoZero"/>
        <c:auto val="1"/>
        <c:lblAlgn val="ctr"/>
        <c:lblOffset val="100"/>
        <c:noMultiLvlLbl val="0"/>
      </c:catAx>
      <c:valAx>
        <c:axId val="94401664"/>
        <c:scaling>
          <c:orientation val="minMax"/>
        </c:scaling>
        <c:delete val="0"/>
        <c:axPos val="l"/>
        <c:majorGridlines>
          <c:spPr>
            <a:ln>
              <a:solidFill>
                <a:schemeClr val="bg1">
                  <a:lumMod val="65000"/>
                </a:schemeClr>
              </a:solidFill>
              <a:prstDash val="sysDash"/>
            </a:ln>
          </c:spPr>
        </c:majorGridlines>
        <c:numFmt formatCode="General" sourceLinked="1"/>
        <c:majorTickMark val="out"/>
        <c:minorTickMark val="none"/>
        <c:tickLblPos val="nextTo"/>
        <c:crossAx val="94379392"/>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fr-FR"/>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268823818897638E-2"/>
          <c:y val="5.2986512524084775E-2"/>
          <c:w val="0.90108534284776898"/>
          <c:h val="0.70075524284711932"/>
        </c:manualLayout>
      </c:layout>
      <c:barChart>
        <c:barDir val="col"/>
        <c:grouping val="stacked"/>
        <c:varyColors val="0"/>
        <c:ser>
          <c:idx val="0"/>
          <c:order val="0"/>
          <c:tx>
            <c:v>entreprises versant dans les liasses</c:v>
          </c:tx>
          <c:spPr>
            <a:solidFill>
              <a:schemeClr val="tx1"/>
            </a:solidFill>
          </c:spPr>
          <c:invertIfNegative val="0"/>
          <c:cat>
            <c:strRef>
              <c:f>taille!$A$11:$A$15</c:f>
              <c:strCache>
                <c:ptCount val="5"/>
                <c:pt idx="0">
                  <c:v>50 à 99 salariés</c:v>
                </c:pt>
                <c:pt idx="1">
                  <c:v>100 à 249 salariés</c:v>
                </c:pt>
                <c:pt idx="2">
                  <c:v>250 à 499 salariés</c:v>
                </c:pt>
                <c:pt idx="3">
                  <c:v>500 à 999 salariés</c:v>
                </c:pt>
                <c:pt idx="4">
                  <c:v>1 000 salariés ou plus</c:v>
                </c:pt>
              </c:strCache>
            </c:strRef>
          </c:cat>
          <c:val>
            <c:numRef>
              <c:f>taille!$D$11:$D$15</c:f>
              <c:numCache>
                <c:formatCode>0</c:formatCode>
                <c:ptCount val="5"/>
                <c:pt idx="0">
                  <c:v>28</c:v>
                </c:pt>
                <c:pt idx="1">
                  <c:v>40</c:v>
                </c:pt>
                <c:pt idx="2">
                  <c:v>43</c:v>
                </c:pt>
                <c:pt idx="3">
                  <c:v>44</c:v>
                </c:pt>
                <c:pt idx="4">
                  <c:v>41</c:v>
                </c:pt>
              </c:numCache>
            </c:numRef>
          </c:val>
        </c:ser>
        <c:ser>
          <c:idx val="1"/>
          <c:order val="1"/>
          <c:tx>
            <c:v>entreprises ne versant pas dans les liasses</c:v>
          </c:tx>
          <c:invertIfNegative val="0"/>
          <c:cat>
            <c:strRef>
              <c:f>taille!$A$11:$A$15</c:f>
              <c:strCache>
                <c:ptCount val="5"/>
                <c:pt idx="0">
                  <c:v>50 à 99 salariés</c:v>
                </c:pt>
                <c:pt idx="1">
                  <c:v>100 à 249 salariés</c:v>
                </c:pt>
                <c:pt idx="2">
                  <c:v>250 à 499 salariés</c:v>
                </c:pt>
                <c:pt idx="3">
                  <c:v>500 à 999 salariés</c:v>
                </c:pt>
                <c:pt idx="4">
                  <c:v>1 000 salariés ou plus</c:v>
                </c:pt>
              </c:strCache>
            </c:strRef>
          </c:cat>
          <c:val>
            <c:numRef>
              <c:f>taille!$C$11:$C$15</c:f>
              <c:numCache>
                <c:formatCode>0</c:formatCode>
                <c:ptCount val="5"/>
                <c:pt idx="0">
                  <c:v>40</c:v>
                </c:pt>
                <c:pt idx="1">
                  <c:v>26</c:v>
                </c:pt>
                <c:pt idx="2">
                  <c:v>21</c:v>
                </c:pt>
                <c:pt idx="3">
                  <c:v>18</c:v>
                </c:pt>
                <c:pt idx="4">
                  <c:v>19</c:v>
                </c:pt>
              </c:numCache>
            </c:numRef>
          </c:val>
        </c:ser>
        <c:dLbls>
          <c:showLegendKey val="0"/>
          <c:showVal val="0"/>
          <c:showCatName val="0"/>
          <c:showSerName val="0"/>
          <c:showPercent val="0"/>
          <c:showBubbleSize val="0"/>
        </c:dLbls>
        <c:gapWidth val="150"/>
        <c:overlap val="100"/>
        <c:axId val="94308608"/>
        <c:axId val="94314496"/>
      </c:barChart>
      <c:catAx>
        <c:axId val="94308608"/>
        <c:scaling>
          <c:orientation val="minMax"/>
        </c:scaling>
        <c:delete val="0"/>
        <c:axPos val="b"/>
        <c:numFmt formatCode="General" sourceLinked="1"/>
        <c:majorTickMark val="out"/>
        <c:minorTickMark val="none"/>
        <c:tickLblPos val="nextTo"/>
        <c:crossAx val="94314496"/>
        <c:crosses val="autoZero"/>
        <c:auto val="1"/>
        <c:lblAlgn val="ctr"/>
        <c:lblOffset val="100"/>
        <c:noMultiLvlLbl val="0"/>
      </c:catAx>
      <c:valAx>
        <c:axId val="94314496"/>
        <c:scaling>
          <c:orientation val="minMax"/>
          <c:max val="70"/>
        </c:scaling>
        <c:delete val="0"/>
        <c:axPos val="l"/>
        <c:majorGridlines>
          <c:spPr>
            <a:ln>
              <a:solidFill>
                <a:schemeClr val="bg1">
                  <a:lumMod val="65000"/>
                </a:schemeClr>
              </a:solidFill>
              <a:prstDash val="sysDash"/>
            </a:ln>
          </c:spPr>
        </c:majorGridlines>
        <c:numFmt formatCode="0" sourceLinked="1"/>
        <c:majorTickMark val="out"/>
        <c:minorTickMark val="none"/>
        <c:tickLblPos val="nextTo"/>
        <c:crossAx val="94308608"/>
        <c:crosses val="autoZero"/>
        <c:crossBetween val="between"/>
      </c:valAx>
    </c:plotArea>
    <c:legend>
      <c:legendPos val="b"/>
      <c:layout>
        <c:manualLayout>
          <c:xMode val="edge"/>
          <c:yMode val="edge"/>
          <c:x val="7.8778707349081364E-2"/>
          <c:y val="0.88203756399261979"/>
          <c:w val="0.79397371227034119"/>
          <c:h val="0.10494204932304255"/>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fr-FR"/>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268823818897638E-2"/>
          <c:y val="5.2986512524084775E-2"/>
          <c:w val="0.90108534284776898"/>
          <c:h val="0.70075524284711932"/>
        </c:manualLayout>
      </c:layout>
      <c:barChart>
        <c:barDir val="col"/>
        <c:grouping val="stacked"/>
        <c:varyColors val="0"/>
        <c:ser>
          <c:idx val="0"/>
          <c:order val="0"/>
          <c:tx>
            <c:v>entreprises versant selon la formule actuelle resimulée</c:v>
          </c:tx>
          <c:spPr>
            <a:solidFill>
              <a:schemeClr val="tx1"/>
            </a:solidFill>
          </c:spPr>
          <c:invertIfNegative val="0"/>
          <c:cat>
            <c:strRef>
              <c:f>'[Pour fiche 6.xlsx]taille'!$A$33:$A$37</c:f>
              <c:strCache>
                <c:ptCount val="5"/>
                <c:pt idx="0">
                  <c:v>50 à 99 salariés</c:v>
                </c:pt>
                <c:pt idx="1">
                  <c:v>100 à 249 salariés</c:v>
                </c:pt>
                <c:pt idx="2">
                  <c:v>250 à 499 salariés</c:v>
                </c:pt>
                <c:pt idx="3">
                  <c:v>500 à 999 salariés</c:v>
                </c:pt>
                <c:pt idx="4">
                  <c:v>1 000 salariés ou plus</c:v>
                </c:pt>
              </c:strCache>
            </c:strRef>
          </c:cat>
          <c:val>
            <c:numRef>
              <c:f>'[Pour fiche 6.xlsx]taille'!$D$33:$D$37</c:f>
              <c:numCache>
                <c:formatCode>0</c:formatCode>
                <c:ptCount val="5"/>
                <c:pt idx="0">
                  <c:v>45.441371814998192</c:v>
                </c:pt>
                <c:pt idx="1">
                  <c:v>43.034442947854536</c:v>
                </c:pt>
                <c:pt idx="2">
                  <c:v>42.719652281900039</c:v>
                </c:pt>
                <c:pt idx="3">
                  <c:v>40.362811791383223</c:v>
                </c:pt>
                <c:pt idx="4">
                  <c:v>39.979959919839672</c:v>
                </c:pt>
              </c:numCache>
            </c:numRef>
          </c:val>
        </c:ser>
        <c:ser>
          <c:idx val="1"/>
          <c:order val="1"/>
          <c:tx>
            <c:v>entreprises ne versant pas selon la formule actuelle resimulée</c:v>
          </c:tx>
          <c:invertIfNegative val="0"/>
          <c:cat>
            <c:strRef>
              <c:f>'[Pour fiche 6.xlsx]taille'!$A$33:$A$37</c:f>
              <c:strCache>
                <c:ptCount val="5"/>
                <c:pt idx="0">
                  <c:v>50 à 99 salariés</c:v>
                </c:pt>
                <c:pt idx="1">
                  <c:v>100 à 249 salariés</c:v>
                </c:pt>
                <c:pt idx="2">
                  <c:v>250 à 499 salariés</c:v>
                </c:pt>
                <c:pt idx="3">
                  <c:v>500 à 999 salariés</c:v>
                </c:pt>
                <c:pt idx="4">
                  <c:v>1 000 salariés ou plus</c:v>
                </c:pt>
              </c:strCache>
            </c:strRef>
          </c:cat>
          <c:val>
            <c:numRef>
              <c:f>'[Pour fiche 6.xlsx]taille'!$C$33:$C$37</c:f>
              <c:numCache>
                <c:formatCode>0</c:formatCode>
                <c:ptCount val="5"/>
                <c:pt idx="0">
                  <c:v>22.65426880811496</c:v>
                </c:pt>
                <c:pt idx="1">
                  <c:v>22.878583798345197</c:v>
                </c:pt>
                <c:pt idx="2">
                  <c:v>21.763427506985408</c:v>
                </c:pt>
                <c:pt idx="3">
                  <c:v>21.239606953892668</c:v>
                </c:pt>
                <c:pt idx="4">
                  <c:v>20.240480961923847</c:v>
                </c:pt>
              </c:numCache>
            </c:numRef>
          </c:val>
        </c:ser>
        <c:dLbls>
          <c:showLegendKey val="0"/>
          <c:showVal val="0"/>
          <c:showCatName val="0"/>
          <c:showSerName val="0"/>
          <c:showPercent val="0"/>
          <c:showBubbleSize val="0"/>
        </c:dLbls>
        <c:gapWidth val="150"/>
        <c:overlap val="100"/>
        <c:axId val="94339840"/>
        <c:axId val="94341376"/>
      </c:barChart>
      <c:catAx>
        <c:axId val="94339840"/>
        <c:scaling>
          <c:orientation val="minMax"/>
        </c:scaling>
        <c:delete val="0"/>
        <c:axPos val="b"/>
        <c:numFmt formatCode="General" sourceLinked="1"/>
        <c:majorTickMark val="out"/>
        <c:minorTickMark val="none"/>
        <c:tickLblPos val="nextTo"/>
        <c:crossAx val="94341376"/>
        <c:crosses val="autoZero"/>
        <c:auto val="1"/>
        <c:lblAlgn val="ctr"/>
        <c:lblOffset val="100"/>
        <c:noMultiLvlLbl val="0"/>
      </c:catAx>
      <c:valAx>
        <c:axId val="94341376"/>
        <c:scaling>
          <c:orientation val="minMax"/>
          <c:max val="70"/>
        </c:scaling>
        <c:delete val="0"/>
        <c:axPos val="l"/>
        <c:majorGridlines>
          <c:spPr>
            <a:ln>
              <a:solidFill>
                <a:schemeClr val="bg1">
                  <a:lumMod val="65000"/>
                </a:schemeClr>
              </a:solidFill>
              <a:prstDash val="sysDash"/>
            </a:ln>
          </c:spPr>
        </c:majorGridlines>
        <c:numFmt formatCode="0" sourceLinked="1"/>
        <c:majorTickMark val="out"/>
        <c:minorTickMark val="none"/>
        <c:tickLblPos val="nextTo"/>
        <c:crossAx val="94339840"/>
        <c:crosses val="autoZero"/>
        <c:crossBetween val="between"/>
      </c:valAx>
    </c:plotArea>
    <c:legend>
      <c:legendPos val="b"/>
      <c:layout>
        <c:manualLayout>
          <c:xMode val="edge"/>
          <c:yMode val="edge"/>
          <c:x val="7.8778707349081364E-2"/>
          <c:y val="0.88203756399261979"/>
          <c:w val="0.79397371227034119"/>
          <c:h val="0.10494204932304255"/>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fr-FR"/>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0.08284</cdr:x>
      <cdr:y>0.01927</cdr:y>
    </cdr:from>
    <cdr:to>
      <cdr:x>0.14326</cdr:x>
      <cdr:y>0.10597</cdr:y>
    </cdr:to>
    <cdr:sp macro="" textlink="">
      <cdr:nvSpPr>
        <cdr:cNvPr id="3" name="ZoneTexte 1"/>
        <cdr:cNvSpPr txBox="1"/>
      </cdr:nvSpPr>
      <cdr:spPr>
        <a:xfrm xmlns:a="http://schemas.openxmlformats.org/drawingml/2006/main">
          <a:off x="390287" y="61819"/>
          <a:ext cx="284642" cy="27813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50">
              <a:latin typeface="Arial" panose="020B0604020202020204" pitchFamily="34" charset="0"/>
              <a:cs typeface="Arial" panose="020B0604020202020204" pitchFamily="34"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0.10277</cdr:x>
      <cdr:y>0.00868</cdr:y>
    </cdr:from>
    <cdr:to>
      <cdr:x>0.23819</cdr:x>
      <cdr:y>0.09201</cdr:y>
    </cdr:to>
    <cdr:sp macro="" textlink="">
      <cdr:nvSpPr>
        <cdr:cNvPr id="2" name="ZoneTexte 1"/>
        <cdr:cNvSpPr txBox="1"/>
      </cdr:nvSpPr>
      <cdr:spPr>
        <a:xfrm xmlns:a="http://schemas.openxmlformats.org/drawingml/2006/main">
          <a:off x="490403" y="25531"/>
          <a:ext cx="646227" cy="2451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fr-FR" sz="1050">
              <a:latin typeface="Arial" panose="020B0604020202020204" pitchFamily="34" charset="0"/>
              <a:cs typeface="Arial" panose="020B0604020202020204" pitchFamily="34" charset="0"/>
            </a:rPr>
            <a:t>Md€</a:t>
          </a:r>
        </a:p>
      </cdr:txBody>
    </cdr:sp>
  </cdr:relSizeAnchor>
</c:userShapes>
</file>

<file path=word/drawings/drawing3.xml><?xml version="1.0" encoding="utf-8"?>
<c:userShapes xmlns:c="http://schemas.openxmlformats.org/drawingml/2006/chart">
  <cdr:relSizeAnchor xmlns:cdr="http://schemas.openxmlformats.org/drawingml/2006/chartDrawing">
    <cdr:from>
      <cdr:x>0.08284</cdr:x>
      <cdr:y>0.01927</cdr:y>
    </cdr:from>
    <cdr:to>
      <cdr:x>0.14326</cdr:x>
      <cdr:y>0.10597</cdr:y>
    </cdr:to>
    <cdr:sp macro="" textlink="">
      <cdr:nvSpPr>
        <cdr:cNvPr id="3" name="ZoneTexte 1"/>
        <cdr:cNvSpPr txBox="1"/>
      </cdr:nvSpPr>
      <cdr:spPr>
        <a:xfrm xmlns:a="http://schemas.openxmlformats.org/drawingml/2006/main">
          <a:off x="390287" y="61819"/>
          <a:ext cx="284642" cy="27813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50">
              <a:latin typeface="Arial" panose="020B0604020202020204" pitchFamily="34" charset="0"/>
              <a:cs typeface="Arial" panose="020B0604020202020204" pitchFamily="34" charset="0"/>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0.10277</cdr:x>
      <cdr:y>0.00868</cdr:y>
    </cdr:from>
    <cdr:to>
      <cdr:x>0.23819</cdr:x>
      <cdr:y>0.09201</cdr:y>
    </cdr:to>
    <cdr:sp macro="" textlink="">
      <cdr:nvSpPr>
        <cdr:cNvPr id="2" name="ZoneTexte 1"/>
        <cdr:cNvSpPr txBox="1"/>
      </cdr:nvSpPr>
      <cdr:spPr>
        <a:xfrm xmlns:a="http://schemas.openxmlformats.org/drawingml/2006/main">
          <a:off x="490403" y="25531"/>
          <a:ext cx="646227" cy="2451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fr-FR" sz="1050">
              <a:latin typeface="Arial" panose="020B0604020202020204" pitchFamily="34" charset="0"/>
              <a:cs typeface="Arial" panose="020B0604020202020204" pitchFamily="34" charset="0"/>
            </a:rPr>
            <a:t>Md€</a:t>
          </a:r>
        </a:p>
      </cdr:txBody>
    </cdr:sp>
  </cdr:relSizeAnchor>
</c:userShapes>
</file>

<file path=word/drawings/drawing5.xml><?xml version="1.0" encoding="utf-8"?>
<c:userShapes xmlns:c="http://schemas.openxmlformats.org/drawingml/2006/chart">
  <cdr:relSizeAnchor xmlns:cdr="http://schemas.openxmlformats.org/drawingml/2006/chartDrawing">
    <cdr:from>
      <cdr:x>0.07825</cdr:x>
      <cdr:y>3.12461E-7</cdr:y>
    </cdr:from>
    <cdr:to>
      <cdr:x>0.11035</cdr:x>
      <cdr:y>0.07673</cdr:y>
    </cdr:to>
    <cdr:sp macro="" textlink="">
      <cdr:nvSpPr>
        <cdr:cNvPr id="3" name="ZoneTexte 1"/>
        <cdr:cNvSpPr txBox="1"/>
      </cdr:nvSpPr>
      <cdr:spPr>
        <a:xfrm xmlns:a="http://schemas.openxmlformats.org/drawingml/2006/main">
          <a:off x="371474" y="1"/>
          <a:ext cx="152401" cy="24556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50">
              <a:latin typeface="Arial" panose="020B0604020202020204" pitchFamily="34" charset="0"/>
              <a:cs typeface="Arial" panose="020B0604020202020204" pitchFamily="34" charset="0"/>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0.07825</cdr:x>
      <cdr:y>3.12461E-7</cdr:y>
    </cdr:from>
    <cdr:to>
      <cdr:x>0.11035</cdr:x>
      <cdr:y>0.07673</cdr:y>
    </cdr:to>
    <cdr:sp macro="" textlink="">
      <cdr:nvSpPr>
        <cdr:cNvPr id="3" name="ZoneTexte 1"/>
        <cdr:cNvSpPr txBox="1"/>
      </cdr:nvSpPr>
      <cdr:spPr>
        <a:xfrm xmlns:a="http://schemas.openxmlformats.org/drawingml/2006/main">
          <a:off x="371474" y="1"/>
          <a:ext cx="152401" cy="24556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50">
              <a:latin typeface="Arial" panose="020B0604020202020204" pitchFamily="34" charset="0"/>
              <a:cs typeface="Arial" panose="020B0604020202020204" pitchFamily="34" charset="0"/>
            </a:rPr>
            <a:t>%</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9E0A10-90EB-40B0-A481-003E276FF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19953</Words>
  <Characters>109742</Characters>
  <Application>Microsoft Office Word</Application>
  <DocSecurity>0</DocSecurity>
  <Lines>914</Lines>
  <Paragraphs>258</Paragraphs>
  <ScaleCrop>false</ScaleCrop>
  <HeadingPairs>
    <vt:vector size="2" baseType="variant">
      <vt:variant>
        <vt:lpstr>Titre</vt:lpstr>
      </vt:variant>
      <vt:variant>
        <vt:i4>1</vt:i4>
      </vt:variant>
    </vt:vector>
  </HeadingPairs>
  <TitlesOfParts>
    <vt:vector size="1" baseType="lpstr">
      <vt:lpstr>CONSEIL D’ORIENTATION DE LA PARTICIPATION, DE L’INTERESSEMENT, DE L’EPARGNE SALARIALEET DE L’ACTIONNARIAT SALARIE (COPIESAS)</vt:lpstr>
    </vt:vector>
  </TitlesOfParts>
  <Company>Ministères Chargés des Affaires Sociales</Company>
  <LinksUpToDate>false</LinksUpToDate>
  <CharactersWithSpaces>129437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 D’ORIENTATION DE LA PARTICIPATION, DE L’INTERESSEMENT, DE L’EPARGNE SALARIALEET DE L’ACTIONNARIAT SALARIE (COPIESAS)</dc:title>
  <dc:subject>RAPPORT Propositions en vue d’une réforme de l’épargne salariale</dc:subject>
  <dc:creator>BARRAT, Olivier (DGT)</dc:creator>
  <cp:lastModifiedBy>BARRAT, Olivier (DGT)</cp:lastModifiedBy>
  <cp:revision>2</cp:revision>
  <dcterms:created xsi:type="dcterms:W3CDTF">2018-03-23T08:58:00Z</dcterms:created>
  <dcterms:modified xsi:type="dcterms:W3CDTF">2018-03-23T08:58:00Z</dcterms:modified>
</cp:coreProperties>
</file>