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BF" w:rsidRDefault="006618D5" w:rsidP="00BA1CCB">
      <w:pPr>
        <w:jc w:val="right"/>
      </w:pPr>
      <w:r>
        <w:t>10</w:t>
      </w:r>
      <w:r w:rsidR="001378C1">
        <w:t xml:space="preserve"> </w:t>
      </w:r>
      <w:r>
        <w:t>novembre</w:t>
      </w:r>
      <w:r w:rsidR="001378C1">
        <w:t xml:space="preserve"> 2015</w:t>
      </w:r>
    </w:p>
    <w:p w:rsidR="00DE204B" w:rsidRDefault="00DE204B" w:rsidP="00BC48F3"/>
    <w:p w:rsidR="00174449" w:rsidRDefault="00174449" w:rsidP="00BC48F3"/>
    <w:p w:rsidR="00BA1CCB" w:rsidRPr="009A2BAB" w:rsidRDefault="00A544C1" w:rsidP="009A2BAB">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Comité de suivi de l’agenda social</w:t>
      </w:r>
    </w:p>
    <w:p w:rsidR="00174449" w:rsidRDefault="00174449" w:rsidP="00BA1CCB">
      <w:pPr>
        <w:jc w:val="center"/>
        <w:rPr>
          <w:sz w:val="24"/>
          <w:szCs w:val="24"/>
        </w:rPr>
      </w:pPr>
    </w:p>
    <w:p w:rsidR="00BA1CCB" w:rsidRPr="009A2BAB" w:rsidRDefault="009A2BAB" w:rsidP="00BA1CCB">
      <w:pPr>
        <w:jc w:val="center"/>
        <w:rPr>
          <w:b/>
          <w:sz w:val="24"/>
          <w:szCs w:val="24"/>
          <w:u w:val="single"/>
        </w:rPr>
      </w:pPr>
      <w:r w:rsidRPr="009A2BAB">
        <w:rPr>
          <w:b/>
          <w:sz w:val="24"/>
          <w:szCs w:val="24"/>
          <w:u w:val="single"/>
        </w:rPr>
        <w:t>R</w:t>
      </w:r>
      <w:r w:rsidR="00BA1CCB" w:rsidRPr="009A2BAB">
        <w:rPr>
          <w:b/>
          <w:sz w:val="24"/>
          <w:szCs w:val="24"/>
          <w:u w:val="single"/>
        </w:rPr>
        <w:t>elevé de conclusions</w:t>
      </w:r>
    </w:p>
    <w:p w:rsidR="009A2BAB" w:rsidRPr="009A2BAB" w:rsidRDefault="009A2BAB" w:rsidP="00BA1CCB">
      <w:pPr>
        <w:jc w:val="center"/>
        <w:rPr>
          <w:sz w:val="24"/>
          <w:szCs w:val="24"/>
        </w:rPr>
      </w:pPr>
    </w:p>
    <w:p w:rsidR="00DE204B" w:rsidRDefault="001378C1" w:rsidP="00BA1CCB">
      <w:pPr>
        <w:jc w:val="both"/>
        <w:rPr>
          <w:sz w:val="24"/>
          <w:szCs w:val="24"/>
        </w:rPr>
      </w:pPr>
      <w:r>
        <w:rPr>
          <w:sz w:val="24"/>
          <w:szCs w:val="24"/>
        </w:rPr>
        <w:t>Dans le prolongement de l’agen</w:t>
      </w:r>
      <w:r w:rsidR="006618D5">
        <w:rPr>
          <w:sz w:val="24"/>
          <w:szCs w:val="24"/>
        </w:rPr>
        <w:t>da social 2015 élaboré le 23</w:t>
      </w:r>
      <w:r>
        <w:rPr>
          <w:sz w:val="24"/>
          <w:szCs w:val="24"/>
        </w:rPr>
        <w:t xml:space="preserve"> </w:t>
      </w:r>
      <w:r w:rsidR="006618D5">
        <w:rPr>
          <w:sz w:val="24"/>
          <w:szCs w:val="24"/>
        </w:rPr>
        <w:t>février 2015</w:t>
      </w:r>
      <w:r w:rsidR="009C59C5">
        <w:rPr>
          <w:sz w:val="24"/>
          <w:szCs w:val="24"/>
        </w:rPr>
        <w:t xml:space="preserve">, </w:t>
      </w:r>
      <w:r w:rsidR="00BA1CCB" w:rsidRPr="009A2BAB">
        <w:rPr>
          <w:sz w:val="24"/>
          <w:szCs w:val="24"/>
        </w:rPr>
        <w:t xml:space="preserve">les </w:t>
      </w:r>
      <w:r w:rsidR="00A544C1">
        <w:rPr>
          <w:sz w:val="24"/>
          <w:szCs w:val="24"/>
        </w:rPr>
        <w:t xml:space="preserve">organisations syndicales </w:t>
      </w:r>
      <w:r w:rsidR="00D9242A">
        <w:rPr>
          <w:sz w:val="24"/>
          <w:szCs w:val="24"/>
        </w:rPr>
        <w:t xml:space="preserve">de salariés et d’employeurs </w:t>
      </w:r>
      <w:r w:rsidR="00A544C1">
        <w:rPr>
          <w:sz w:val="24"/>
          <w:szCs w:val="24"/>
        </w:rPr>
        <w:t xml:space="preserve">représentatives au niveau national interprofessionnel </w:t>
      </w:r>
      <w:r w:rsidR="00BA1CCB" w:rsidRPr="009A2BAB">
        <w:rPr>
          <w:sz w:val="24"/>
          <w:szCs w:val="24"/>
        </w:rPr>
        <w:t>ont défini ce jour leur agenda</w:t>
      </w:r>
      <w:r w:rsidR="00DE204B">
        <w:rPr>
          <w:sz w:val="24"/>
          <w:szCs w:val="24"/>
        </w:rPr>
        <w:t xml:space="preserve"> social pour </w:t>
      </w:r>
      <w:r w:rsidR="006618D5">
        <w:rPr>
          <w:sz w:val="24"/>
          <w:szCs w:val="24"/>
        </w:rPr>
        <w:t xml:space="preserve">la fin de l’année 2015 et l’année 2016. </w:t>
      </w:r>
    </w:p>
    <w:p w:rsidR="00603623" w:rsidRDefault="00DE204B" w:rsidP="00BA1CCB">
      <w:pPr>
        <w:jc w:val="both"/>
        <w:rPr>
          <w:sz w:val="24"/>
          <w:szCs w:val="24"/>
        </w:rPr>
      </w:pPr>
      <w:r>
        <w:rPr>
          <w:sz w:val="24"/>
          <w:szCs w:val="24"/>
        </w:rPr>
        <w:t xml:space="preserve">Celui-ci est fixé de la manière suivante : </w:t>
      </w:r>
      <w:r w:rsidR="00BA1CCB" w:rsidRPr="009A2BAB">
        <w:rPr>
          <w:sz w:val="24"/>
          <w:szCs w:val="24"/>
        </w:rPr>
        <w:t xml:space="preserve"> </w:t>
      </w:r>
    </w:p>
    <w:p w:rsidR="006408F6" w:rsidRDefault="006408F6" w:rsidP="00BA1CCB">
      <w:pPr>
        <w:jc w:val="both"/>
        <w:rPr>
          <w:b/>
          <w:sz w:val="24"/>
          <w:szCs w:val="24"/>
          <w:u w:val="single"/>
        </w:rPr>
      </w:pPr>
    </w:p>
    <w:p w:rsidR="006408F6" w:rsidRPr="006408F6" w:rsidRDefault="006408F6" w:rsidP="00BA1CCB">
      <w:pPr>
        <w:jc w:val="both"/>
        <w:rPr>
          <w:b/>
          <w:sz w:val="24"/>
          <w:szCs w:val="24"/>
          <w:u w:val="single"/>
        </w:rPr>
      </w:pPr>
      <w:r w:rsidRPr="006408F6">
        <w:rPr>
          <w:b/>
          <w:sz w:val="24"/>
          <w:szCs w:val="24"/>
          <w:u w:val="single"/>
        </w:rPr>
        <w:t>Dialogue économique</w:t>
      </w:r>
    </w:p>
    <w:p w:rsidR="00753566" w:rsidRDefault="006618D5" w:rsidP="00E44192">
      <w:pPr>
        <w:pStyle w:val="Paragraphedeliste"/>
        <w:numPr>
          <w:ilvl w:val="0"/>
          <w:numId w:val="3"/>
        </w:numPr>
        <w:jc w:val="both"/>
        <w:rPr>
          <w:sz w:val="24"/>
          <w:szCs w:val="24"/>
        </w:rPr>
      </w:pPr>
      <w:r w:rsidRPr="00E44192">
        <w:rPr>
          <w:sz w:val="24"/>
          <w:szCs w:val="24"/>
        </w:rPr>
        <w:t>Développement</w:t>
      </w:r>
      <w:r w:rsidR="005E1594" w:rsidRPr="00E44192">
        <w:rPr>
          <w:sz w:val="24"/>
          <w:szCs w:val="24"/>
        </w:rPr>
        <w:t xml:space="preserve"> du dialogue économique : </w:t>
      </w:r>
    </w:p>
    <w:p w:rsidR="00D9242A" w:rsidRPr="00E44192" w:rsidRDefault="00D9242A" w:rsidP="00D9242A">
      <w:pPr>
        <w:pStyle w:val="Paragraphedeliste"/>
        <w:jc w:val="both"/>
        <w:rPr>
          <w:sz w:val="24"/>
          <w:szCs w:val="24"/>
        </w:rPr>
      </w:pPr>
    </w:p>
    <w:p w:rsidR="00753566" w:rsidRDefault="005E1594" w:rsidP="00753566">
      <w:pPr>
        <w:pStyle w:val="Paragraphedeliste"/>
        <w:numPr>
          <w:ilvl w:val="1"/>
          <w:numId w:val="3"/>
        </w:numPr>
        <w:jc w:val="both"/>
        <w:rPr>
          <w:sz w:val="24"/>
          <w:szCs w:val="24"/>
        </w:rPr>
      </w:pPr>
      <w:r>
        <w:rPr>
          <w:sz w:val="24"/>
          <w:szCs w:val="24"/>
        </w:rPr>
        <w:t xml:space="preserve">conclusion de la délibération sur le partage de la valeur ajoutée </w:t>
      </w:r>
      <w:r w:rsidR="00A44FF9">
        <w:rPr>
          <w:sz w:val="24"/>
          <w:szCs w:val="24"/>
        </w:rPr>
        <w:t>(d’ici la fin de l’année c</w:t>
      </w:r>
      <w:r w:rsidR="00753566">
        <w:rPr>
          <w:sz w:val="24"/>
          <w:szCs w:val="24"/>
        </w:rPr>
        <w:t>ivile)</w:t>
      </w:r>
      <w:r w:rsidR="00E44192">
        <w:rPr>
          <w:sz w:val="24"/>
          <w:szCs w:val="24"/>
        </w:rPr>
        <w:t xml:space="preserve"> ; </w:t>
      </w:r>
    </w:p>
    <w:p w:rsidR="00D9242A" w:rsidRDefault="00D9242A" w:rsidP="00D9242A">
      <w:pPr>
        <w:pStyle w:val="Paragraphedeliste"/>
        <w:ind w:left="1440"/>
        <w:jc w:val="both"/>
        <w:rPr>
          <w:sz w:val="24"/>
          <w:szCs w:val="24"/>
        </w:rPr>
      </w:pPr>
    </w:p>
    <w:p w:rsidR="00D9242A" w:rsidRDefault="005E1594" w:rsidP="00D9242A">
      <w:pPr>
        <w:pStyle w:val="Paragraphedeliste"/>
        <w:numPr>
          <w:ilvl w:val="1"/>
          <w:numId w:val="3"/>
        </w:numPr>
        <w:jc w:val="both"/>
        <w:rPr>
          <w:sz w:val="24"/>
          <w:szCs w:val="24"/>
        </w:rPr>
      </w:pPr>
      <w:r>
        <w:rPr>
          <w:sz w:val="24"/>
          <w:szCs w:val="24"/>
        </w:rPr>
        <w:t>ouverture d’une discussion sur l</w:t>
      </w:r>
      <w:r w:rsidR="004976B0">
        <w:rPr>
          <w:sz w:val="24"/>
          <w:szCs w:val="24"/>
        </w:rPr>
        <w:t>es enjeux économiques</w:t>
      </w:r>
      <w:r>
        <w:rPr>
          <w:sz w:val="24"/>
          <w:szCs w:val="24"/>
        </w:rPr>
        <w:t xml:space="preserve"> du numérique</w:t>
      </w:r>
      <w:r w:rsidR="006618D5">
        <w:rPr>
          <w:sz w:val="24"/>
          <w:szCs w:val="24"/>
        </w:rPr>
        <w:t xml:space="preserve"> </w:t>
      </w:r>
      <w:r w:rsidR="00A44FF9">
        <w:rPr>
          <w:sz w:val="24"/>
          <w:szCs w:val="24"/>
        </w:rPr>
        <w:t>(au premier trimestre 2016)</w:t>
      </w:r>
      <w:r w:rsidR="00E44192">
        <w:rPr>
          <w:sz w:val="24"/>
          <w:szCs w:val="24"/>
        </w:rPr>
        <w:t> ;</w:t>
      </w:r>
    </w:p>
    <w:p w:rsidR="00D9242A" w:rsidRPr="00D9242A" w:rsidRDefault="00D9242A" w:rsidP="00D9242A">
      <w:pPr>
        <w:pStyle w:val="Paragraphedeliste"/>
        <w:rPr>
          <w:sz w:val="24"/>
          <w:szCs w:val="24"/>
        </w:rPr>
      </w:pPr>
    </w:p>
    <w:p w:rsidR="00753566" w:rsidRPr="00D9242A" w:rsidRDefault="00753566" w:rsidP="00D9242A">
      <w:pPr>
        <w:pStyle w:val="Paragraphedeliste"/>
        <w:numPr>
          <w:ilvl w:val="1"/>
          <w:numId w:val="3"/>
        </w:numPr>
        <w:jc w:val="both"/>
        <w:rPr>
          <w:sz w:val="24"/>
          <w:szCs w:val="24"/>
        </w:rPr>
      </w:pPr>
      <w:r w:rsidRPr="00D9242A">
        <w:rPr>
          <w:sz w:val="24"/>
          <w:szCs w:val="24"/>
        </w:rPr>
        <w:t>délibération sur les conditions de stabilisation macroéconomique de la zone euro (avant la fin de l’année civile)</w:t>
      </w:r>
      <w:r w:rsidR="00E44192" w:rsidRPr="00D9242A">
        <w:rPr>
          <w:sz w:val="24"/>
          <w:szCs w:val="24"/>
        </w:rPr>
        <w:t>.</w:t>
      </w:r>
    </w:p>
    <w:p w:rsidR="006618D5" w:rsidRDefault="006618D5" w:rsidP="00753566">
      <w:pPr>
        <w:pStyle w:val="Paragraphedeliste"/>
        <w:jc w:val="both"/>
        <w:rPr>
          <w:sz w:val="24"/>
          <w:szCs w:val="24"/>
        </w:rPr>
      </w:pPr>
    </w:p>
    <w:p w:rsidR="006618D5" w:rsidRPr="006408F6" w:rsidRDefault="006408F6" w:rsidP="006408F6">
      <w:pPr>
        <w:jc w:val="both"/>
        <w:rPr>
          <w:b/>
          <w:sz w:val="24"/>
          <w:szCs w:val="24"/>
          <w:u w:val="single"/>
        </w:rPr>
      </w:pPr>
      <w:r w:rsidRPr="006408F6">
        <w:rPr>
          <w:b/>
          <w:sz w:val="24"/>
          <w:szCs w:val="24"/>
          <w:u w:val="single"/>
        </w:rPr>
        <w:t>Négociations</w:t>
      </w:r>
    </w:p>
    <w:p w:rsidR="007B6808" w:rsidRDefault="006408F6" w:rsidP="007B6808">
      <w:pPr>
        <w:pStyle w:val="Paragraphedeliste"/>
        <w:numPr>
          <w:ilvl w:val="0"/>
          <w:numId w:val="9"/>
        </w:numPr>
        <w:jc w:val="both"/>
        <w:rPr>
          <w:sz w:val="24"/>
          <w:szCs w:val="24"/>
        </w:rPr>
      </w:pPr>
      <w:r w:rsidRPr="007B6808">
        <w:rPr>
          <w:sz w:val="24"/>
          <w:szCs w:val="24"/>
        </w:rPr>
        <w:t>Suite et fin de la négociation sur les conditions de négociation interprofessionnelle (d’ici la fin de l’année 2015)</w:t>
      </w:r>
      <w:r w:rsidR="00E44192">
        <w:rPr>
          <w:sz w:val="24"/>
          <w:szCs w:val="24"/>
        </w:rPr>
        <w:t>.</w:t>
      </w:r>
    </w:p>
    <w:p w:rsidR="007B6808" w:rsidRDefault="007B6808" w:rsidP="007B6808">
      <w:pPr>
        <w:pStyle w:val="Paragraphedeliste"/>
        <w:jc w:val="both"/>
        <w:rPr>
          <w:sz w:val="24"/>
          <w:szCs w:val="24"/>
        </w:rPr>
      </w:pPr>
    </w:p>
    <w:p w:rsidR="00B46956" w:rsidRDefault="006618D5" w:rsidP="00B46956">
      <w:pPr>
        <w:pStyle w:val="Paragraphedeliste"/>
        <w:numPr>
          <w:ilvl w:val="0"/>
          <w:numId w:val="9"/>
        </w:numPr>
        <w:jc w:val="both"/>
        <w:rPr>
          <w:sz w:val="24"/>
          <w:szCs w:val="24"/>
        </w:rPr>
      </w:pPr>
      <w:r w:rsidRPr="007B6808">
        <w:rPr>
          <w:sz w:val="24"/>
          <w:szCs w:val="24"/>
        </w:rPr>
        <w:t>Négociation de cadrage sur le compte pers</w:t>
      </w:r>
      <w:r w:rsidR="008C62C5" w:rsidRPr="007B6808">
        <w:rPr>
          <w:sz w:val="24"/>
          <w:szCs w:val="24"/>
        </w:rPr>
        <w:t>onnel d’activité (</w:t>
      </w:r>
      <w:r w:rsidR="00A00522">
        <w:rPr>
          <w:sz w:val="24"/>
          <w:szCs w:val="24"/>
        </w:rPr>
        <w:t>fin d’année</w:t>
      </w:r>
      <w:r w:rsidR="008C62C5" w:rsidRPr="007B6808">
        <w:rPr>
          <w:sz w:val="24"/>
          <w:szCs w:val="24"/>
        </w:rPr>
        <w:t xml:space="preserve"> 2015</w:t>
      </w:r>
      <w:r w:rsidR="00A00522">
        <w:rPr>
          <w:sz w:val="24"/>
          <w:szCs w:val="24"/>
        </w:rPr>
        <w:t xml:space="preserve"> et début d’année 2016</w:t>
      </w:r>
      <w:r w:rsidR="008C62C5" w:rsidRPr="007B6808">
        <w:rPr>
          <w:sz w:val="24"/>
          <w:szCs w:val="24"/>
        </w:rPr>
        <w:t>) permettant de définir les principes du CPA, son premier contenu au 1</w:t>
      </w:r>
      <w:r w:rsidR="008C62C5" w:rsidRPr="007B6808">
        <w:rPr>
          <w:sz w:val="24"/>
          <w:szCs w:val="24"/>
          <w:vertAlign w:val="superscript"/>
        </w:rPr>
        <w:t>er</w:t>
      </w:r>
      <w:r w:rsidR="008C62C5" w:rsidRPr="007B6808">
        <w:rPr>
          <w:sz w:val="24"/>
          <w:szCs w:val="24"/>
        </w:rPr>
        <w:t xml:space="preserve"> janvier 2017</w:t>
      </w:r>
      <w:r w:rsidRPr="007B6808">
        <w:rPr>
          <w:sz w:val="24"/>
          <w:szCs w:val="24"/>
        </w:rPr>
        <w:t xml:space="preserve"> </w:t>
      </w:r>
      <w:r w:rsidR="008C62C5" w:rsidRPr="007B6808">
        <w:rPr>
          <w:sz w:val="24"/>
          <w:szCs w:val="24"/>
        </w:rPr>
        <w:t>(notamment l</w:t>
      </w:r>
      <w:r w:rsidR="00796332">
        <w:rPr>
          <w:sz w:val="24"/>
          <w:szCs w:val="24"/>
        </w:rPr>
        <w:t xml:space="preserve">es principes </w:t>
      </w:r>
      <w:bookmarkStart w:id="0" w:name="_GoBack"/>
      <w:bookmarkEnd w:id="0"/>
      <w:r w:rsidR="00796332">
        <w:rPr>
          <w:sz w:val="24"/>
          <w:szCs w:val="24"/>
        </w:rPr>
        <w:t>du</w:t>
      </w:r>
      <w:r w:rsidR="008C62C5" w:rsidRPr="007B6808">
        <w:rPr>
          <w:sz w:val="24"/>
          <w:szCs w:val="24"/>
        </w:rPr>
        <w:t xml:space="preserve"> cahier des charges du portail d’information numérique</w:t>
      </w:r>
      <w:r w:rsidR="008E4F7E" w:rsidRPr="007B6808">
        <w:rPr>
          <w:sz w:val="24"/>
          <w:szCs w:val="24"/>
        </w:rPr>
        <w:t xml:space="preserve"> et les modalités d’accompagnement</w:t>
      </w:r>
      <w:r w:rsidR="008C62C5" w:rsidRPr="007B6808">
        <w:rPr>
          <w:sz w:val="24"/>
          <w:szCs w:val="24"/>
        </w:rPr>
        <w:t>) ainsi que le calendrier éventuel de négociations thématiques en 2016</w:t>
      </w:r>
      <w:r w:rsidR="00E44192">
        <w:rPr>
          <w:sz w:val="24"/>
          <w:szCs w:val="24"/>
        </w:rPr>
        <w:t>.</w:t>
      </w:r>
    </w:p>
    <w:p w:rsidR="00B46956" w:rsidRPr="00B46956" w:rsidRDefault="00B46956" w:rsidP="00B46956">
      <w:pPr>
        <w:pStyle w:val="Paragraphedeliste"/>
        <w:rPr>
          <w:sz w:val="24"/>
          <w:szCs w:val="24"/>
        </w:rPr>
      </w:pPr>
    </w:p>
    <w:p w:rsidR="00B46956" w:rsidRPr="00B46956" w:rsidRDefault="00B46956" w:rsidP="00B46956">
      <w:pPr>
        <w:pStyle w:val="Paragraphedeliste"/>
        <w:jc w:val="both"/>
        <w:rPr>
          <w:sz w:val="24"/>
          <w:szCs w:val="24"/>
        </w:rPr>
      </w:pPr>
    </w:p>
    <w:p w:rsidR="006408F6" w:rsidRPr="007B6808" w:rsidRDefault="006408F6" w:rsidP="007B6808">
      <w:pPr>
        <w:pStyle w:val="Paragraphedeliste"/>
        <w:numPr>
          <w:ilvl w:val="0"/>
          <w:numId w:val="9"/>
        </w:numPr>
        <w:jc w:val="both"/>
        <w:rPr>
          <w:sz w:val="24"/>
          <w:szCs w:val="24"/>
        </w:rPr>
      </w:pPr>
      <w:r w:rsidRPr="007B6808">
        <w:rPr>
          <w:sz w:val="24"/>
          <w:szCs w:val="24"/>
        </w:rPr>
        <w:t xml:space="preserve">Assurance chômage : </w:t>
      </w:r>
    </w:p>
    <w:p w:rsidR="006408F6" w:rsidRPr="0087445F" w:rsidRDefault="006408F6" w:rsidP="006408F6">
      <w:pPr>
        <w:pStyle w:val="Paragraphedeliste"/>
        <w:rPr>
          <w:sz w:val="24"/>
          <w:szCs w:val="24"/>
        </w:rPr>
      </w:pPr>
    </w:p>
    <w:p w:rsidR="006408F6" w:rsidRDefault="006408F6" w:rsidP="006408F6">
      <w:pPr>
        <w:pStyle w:val="Paragraphedeliste"/>
        <w:numPr>
          <w:ilvl w:val="1"/>
          <w:numId w:val="7"/>
        </w:numPr>
        <w:jc w:val="both"/>
        <w:rPr>
          <w:sz w:val="24"/>
          <w:szCs w:val="24"/>
        </w:rPr>
      </w:pPr>
      <w:r>
        <w:rPr>
          <w:sz w:val="24"/>
          <w:szCs w:val="24"/>
        </w:rPr>
        <w:t>négociation, dans les semaines à venir, d’un avenant à la convention d'assurance chômage du 22 juin 2014 permettant de mettre en conformité la convention avec la décision du Conseil d’Etat du 6 octobre 2015</w:t>
      </w:r>
      <w:r w:rsidR="00E44192">
        <w:rPr>
          <w:sz w:val="24"/>
          <w:szCs w:val="24"/>
        </w:rPr>
        <w:t xml:space="preserve"> ; </w:t>
      </w:r>
    </w:p>
    <w:p w:rsidR="006408F6" w:rsidRDefault="006408F6" w:rsidP="006408F6">
      <w:pPr>
        <w:pStyle w:val="Paragraphedeliste"/>
        <w:ind w:left="1440"/>
        <w:jc w:val="both"/>
        <w:rPr>
          <w:sz w:val="24"/>
          <w:szCs w:val="24"/>
        </w:rPr>
      </w:pPr>
    </w:p>
    <w:p w:rsidR="006408F6" w:rsidRPr="0087445F" w:rsidRDefault="006408F6" w:rsidP="006408F6">
      <w:pPr>
        <w:pStyle w:val="Paragraphedeliste"/>
        <w:numPr>
          <w:ilvl w:val="1"/>
          <w:numId w:val="7"/>
        </w:numPr>
        <w:jc w:val="both"/>
        <w:rPr>
          <w:sz w:val="24"/>
          <w:szCs w:val="24"/>
        </w:rPr>
      </w:pPr>
      <w:r>
        <w:rPr>
          <w:sz w:val="24"/>
          <w:szCs w:val="24"/>
        </w:rPr>
        <w:t xml:space="preserve">poursuite du travail du </w:t>
      </w:r>
      <w:r w:rsidRPr="0087445F">
        <w:rPr>
          <w:sz w:val="24"/>
          <w:szCs w:val="24"/>
        </w:rPr>
        <w:t>groupe de travail politique paritaire afin de traiter les sujets mentionnés à l’article 13 de l’ANI du 22 mars 2014 (</w:t>
      </w:r>
      <w:r w:rsidRPr="0087445F">
        <w:rPr>
          <w:rFonts w:ascii="Calibri" w:hAnsi="Calibri" w:cs="Calibri"/>
          <w:sz w:val="24"/>
          <w:szCs w:val="24"/>
        </w:rPr>
        <w:t>modulation des conditions d’indemnisation et des contributions, modalités de calcul de l’allocation, mise en œuvre d’une aide spécifique à la reconversion professionnelle et réforme de l’aide différentielle de reclassement, concertation avec l’Etat sur la mise en place d’une affiliation obligatoire au régime d’assurance chômage pour les employeurs publics ayant la possibilité d’adhérer au régime de manière révocable ou irrévocable, simplification de la réglementation en vigueur)</w:t>
      </w:r>
      <w:r w:rsidR="00E44192">
        <w:rPr>
          <w:rFonts w:ascii="Calibri" w:hAnsi="Calibri" w:cs="Calibri"/>
          <w:sz w:val="24"/>
          <w:szCs w:val="24"/>
        </w:rPr>
        <w:t> ;</w:t>
      </w:r>
    </w:p>
    <w:p w:rsidR="006408F6" w:rsidRPr="0087445F" w:rsidRDefault="006408F6" w:rsidP="006408F6">
      <w:pPr>
        <w:pStyle w:val="Paragraphedeliste"/>
        <w:rPr>
          <w:sz w:val="24"/>
          <w:szCs w:val="24"/>
        </w:rPr>
      </w:pPr>
    </w:p>
    <w:p w:rsidR="007B6808" w:rsidRDefault="006408F6" w:rsidP="007B6808">
      <w:pPr>
        <w:pStyle w:val="Paragraphedeliste"/>
        <w:numPr>
          <w:ilvl w:val="1"/>
          <w:numId w:val="7"/>
        </w:numPr>
        <w:jc w:val="both"/>
        <w:rPr>
          <w:sz w:val="24"/>
          <w:szCs w:val="24"/>
        </w:rPr>
      </w:pPr>
      <w:r>
        <w:rPr>
          <w:sz w:val="24"/>
          <w:szCs w:val="24"/>
        </w:rPr>
        <w:t>ouverture, au mois de janvier 2016, d’une négociation sur le régime d’assurance chômage en vue de la conclusion d’une convention définissant le régime applicable à partir du 1</w:t>
      </w:r>
      <w:r w:rsidRPr="003A0A5D">
        <w:rPr>
          <w:sz w:val="24"/>
          <w:szCs w:val="24"/>
          <w:vertAlign w:val="superscript"/>
        </w:rPr>
        <w:t>er</w:t>
      </w:r>
      <w:r>
        <w:rPr>
          <w:sz w:val="24"/>
          <w:szCs w:val="24"/>
        </w:rPr>
        <w:t xml:space="preserve"> juillet 2016</w:t>
      </w:r>
      <w:r w:rsidR="00E44192">
        <w:rPr>
          <w:sz w:val="24"/>
          <w:szCs w:val="24"/>
        </w:rPr>
        <w:t>.</w:t>
      </w:r>
    </w:p>
    <w:p w:rsidR="007B6808" w:rsidRPr="007B6808" w:rsidRDefault="007B6808" w:rsidP="007B6808">
      <w:pPr>
        <w:pStyle w:val="Paragraphedeliste"/>
        <w:rPr>
          <w:sz w:val="24"/>
          <w:szCs w:val="24"/>
        </w:rPr>
      </w:pPr>
    </w:p>
    <w:p w:rsidR="00D9242A" w:rsidRDefault="006408F6" w:rsidP="00D9242A">
      <w:pPr>
        <w:pStyle w:val="Paragraphedeliste"/>
        <w:numPr>
          <w:ilvl w:val="0"/>
          <w:numId w:val="9"/>
        </w:numPr>
        <w:jc w:val="both"/>
        <w:rPr>
          <w:sz w:val="24"/>
          <w:szCs w:val="24"/>
        </w:rPr>
      </w:pPr>
      <w:r w:rsidRPr="007B6808">
        <w:rPr>
          <w:sz w:val="24"/>
          <w:szCs w:val="24"/>
        </w:rPr>
        <w:t xml:space="preserve">Négociation sur l’évolution de l’encadrement dans les conditions définies par l’accord du 30 octobre 2015 sur les retraites complémentaires (début 2016): </w:t>
      </w:r>
    </w:p>
    <w:p w:rsidR="00D9242A" w:rsidRDefault="00D9242A" w:rsidP="00D9242A">
      <w:pPr>
        <w:pStyle w:val="Paragraphedeliste"/>
        <w:jc w:val="both"/>
        <w:rPr>
          <w:sz w:val="24"/>
          <w:szCs w:val="24"/>
        </w:rPr>
      </w:pPr>
    </w:p>
    <w:p w:rsidR="00D9242A" w:rsidRDefault="006408F6" w:rsidP="00D9242A">
      <w:pPr>
        <w:pStyle w:val="Paragraphedeliste"/>
        <w:numPr>
          <w:ilvl w:val="1"/>
          <w:numId w:val="9"/>
        </w:numPr>
        <w:jc w:val="both"/>
        <w:rPr>
          <w:sz w:val="24"/>
          <w:szCs w:val="24"/>
        </w:rPr>
      </w:pPr>
      <w:r w:rsidRPr="00D9242A">
        <w:rPr>
          <w:sz w:val="24"/>
          <w:szCs w:val="24"/>
        </w:rPr>
        <w:t xml:space="preserve">définition </w:t>
      </w:r>
      <w:r w:rsidR="00D9242A">
        <w:rPr>
          <w:sz w:val="24"/>
          <w:szCs w:val="24"/>
        </w:rPr>
        <w:t xml:space="preserve">au niveau national interprofessionnel </w:t>
      </w:r>
      <w:r w:rsidRPr="00D9242A">
        <w:rPr>
          <w:sz w:val="24"/>
          <w:szCs w:val="24"/>
        </w:rPr>
        <w:t>des principaux éléments permettant de caractériser l’encadrement (notamment technique et managérial) ;</w:t>
      </w:r>
    </w:p>
    <w:p w:rsidR="00D9242A" w:rsidRDefault="00D9242A" w:rsidP="00D9242A">
      <w:pPr>
        <w:pStyle w:val="Paragraphedeliste"/>
        <w:ind w:left="1440"/>
        <w:jc w:val="both"/>
        <w:rPr>
          <w:sz w:val="24"/>
          <w:szCs w:val="24"/>
        </w:rPr>
      </w:pPr>
    </w:p>
    <w:p w:rsidR="00D9242A" w:rsidRDefault="006408F6" w:rsidP="00D9242A">
      <w:pPr>
        <w:pStyle w:val="Paragraphedeliste"/>
        <w:numPr>
          <w:ilvl w:val="1"/>
          <w:numId w:val="9"/>
        </w:numPr>
        <w:jc w:val="both"/>
        <w:rPr>
          <w:sz w:val="24"/>
          <w:szCs w:val="24"/>
        </w:rPr>
      </w:pPr>
      <w:r w:rsidRPr="00D9242A">
        <w:rPr>
          <w:sz w:val="24"/>
          <w:szCs w:val="24"/>
        </w:rPr>
        <w:t>ouverture aux branches professionnelles de la possibilité, d’une part, de préciser les éléments relatifs à l’encadrement dans le respect du cadre fixé au niveau national et interprofessionnel et, d’autre part, de moderniser le dispositif de prévoyance prévu à l'article 7 de la convention du 14 mars 1947 en pérennisant le taux de 1,5 % de la cotisation prévu à cet article ;</w:t>
      </w:r>
    </w:p>
    <w:p w:rsidR="00D9242A" w:rsidRPr="00D9242A" w:rsidRDefault="00D9242A" w:rsidP="00D9242A">
      <w:pPr>
        <w:pStyle w:val="Paragraphedeliste"/>
        <w:rPr>
          <w:sz w:val="24"/>
          <w:szCs w:val="24"/>
        </w:rPr>
      </w:pPr>
    </w:p>
    <w:p w:rsidR="006408F6" w:rsidRPr="00D9242A" w:rsidRDefault="006408F6" w:rsidP="00D9242A">
      <w:pPr>
        <w:pStyle w:val="Paragraphedeliste"/>
        <w:numPr>
          <w:ilvl w:val="1"/>
          <w:numId w:val="9"/>
        </w:numPr>
        <w:jc w:val="both"/>
        <w:rPr>
          <w:sz w:val="24"/>
          <w:szCs w:val="24"/>
        </w:rPr>
      </w:pPr>
      <w:r w:rsidRPr="00D9242A">
        <w:rPr>
          <w:sz w:val="24"/>
          <w:szCs w:val="24"/>
        </w:rPr>
        <w:t>fixation des dispositions applicables sur les points visés ci-dessus à défaut d’accord de branche professionnelle.</w:t>
      </w:r>
    </w:p>
    <w:p w:rsidR="00174449" w:rsidRDefault="00174449" w:rsidP="006408F6">
      <w:pPr>
        <w:rPr>
          <w:sz w:val="24"/>
          <w:szCs w:val="24"/>
        </w:rPr>
      </w:pPr>
    </w:p>
    <w:p w:rsidR="00D9242A" w:rsidRDefault="00D9242A" w:rsidP="006408F6">
      <w:pPr>
        <w:rPr>
          <w:sz w:val="24"/>
          <w:szCs w:val="24"/>
        </w:rPr>
      </w:pPr>
    </w:p>
    <w:p w:rsidR="00B46956" w:rsidRDefault="00B46956" w:rsidP="006408F6">
      <w:pPr>
        <w:rPr>
          <w:sz w:val="24"/>
          <w:szCs w:val="24"/>
        </w:rPr>
      </w:pPr>
    </w:p>
    <w:p w:rsidR="006408F6" w:rsidRPr="006408F6" w:rsidRDefault="006408F6" w:rsidP="006408F6">
      <w:pPr>
        <w:rPr>
          <w:b/>
          <w:sz w:val="24"/>
          <w:szCs w:val="24"/>
          <w:u w:val="single"/>
        </w:rPr>
      </w:pPr>
      <w:r w:rsidRPr="006408F6">
        <w:rPr>
          <w:b/>
          <w:sz w:val="24"/>
          <w:szCs w:val="24"/>
          <w:u w:val="single"/>
        </w:rPr>
        <w:lastRenderedPageBreak/>
        <w:t>Délibérations</w:t>
      </w:r>
    </w:p>
    <w:p w:rsidR="00F92D0C" w:rsidRDefault="00174449" w:rsidP="007B6808">
      <w:pPr>
        <w:pStyle w:val="Paragraphedeliste"/>
        <w:numPr>
          <w:ilvl w:val="0"/>
          <w:numId w:val="10"/>
        </w:numPr>
        <w:jc w:val="both"/>
        <w:rPr>
          <w:sz w:val="24"/>
          <w:szCs w:val="24"/>
        </w:rPr>
      </w:pPr>
      <w:r w:rsidRPr="007B6808">
        <w:rPr>
          <w:sz w:val="24"/>
          <w:szCs w:val="24"/>
        </w:rPr>
        <w:t xml:space="preserve">Mise en place du groupe de travail paritaire sur le nouveau régime de retraites complémentaires (dès le début 2016, voire fin 2015)  en vue d’une négociation et de la conclusion d’un accord </w:t>
      </w:r>
      <w:r w:rsidR="00D9242A">
        <w:rPr>
          <w:sz w:val="24"/>
          <w:szCs w:val="24"/>
        </w:rPr>
        <w:t xml:space="preserve">national interprofessionnel </w:t>
      </w:r>
      <w:r w:rsidRPr="007B6808">
        <w:rPr>
          <w:sz w:val="24"/>
          <w:szCs w:val="24"/>
        </w:rPr>
        <w:t>avant le 1</w:t>
      </w:r>
      <w:r w:rsidRPr="007B6808">
        <w:rPr>
          <w:sz w:val="24"/>
          <w:szCs w:val="24"/>
          <w:vertAlign w:val="superscript"/>
        </w:rPr>
        <w:t>er</w:t>
      </w:r>
      <w:r w:rsidRPr="007B6808">
        <w:rPr>
          <w:sz w:val="24"/>
          <w:szCs w:val="24"/>
        </w:rPr>
        <w:t xml:space="preserve"> janvier 2018</w:t>
      </w:r>
      <w:r w:rsidR="00E44192">
        <w:rPr>
          <w:sz w:val="24"/>
          <w:szCs w:val="24"/>
        </w:rPr>
        <w:t>.</w:t>
      </w:r>
    </w:p>
    <w:p w:rsidR="00D9242A" w:rsidRDefault="00D9242A" w:rsidP="00D9242A">
      <w:pPr>
        <w:pStyle w:val="Paragraphedeliste"/>
        <w:jc w:val="both"/>
        <w:rPr>
          <w:sz w:val="24"/>
          <w:szCs w:val="24"/>
        </w:rPr>
      </w:pPr>
    </w:p>
    <w:p w:rsidR="00D9242A" w:rsidRDefault="00D9242A" w:rsidP="00D9242A">
      <w:pPr>
        <w:pStyle w:val="Paragraphedeliste"/>
        <w:numPr>
          <w:ilvl w:val="0"/>
          <w:numId w:val="10"/>
        </w:numPr>
        <w:jc w:val="both"/>
        <w:rPr>
          <w:sz w:val="24"/>
          <w:szCs w:val="24"/>
        </w:rPr>
      </w:pPr>
      <w:r>
        <w:rPr>
          <w:sz w:val="24"/>
          <w:szCs w:val="24"/>
        </w:rPr>
        <w:t xml:space="preserve">Délibération </w:t>
      </w:r>
      <w:r w:rsidR="00B46956">
        <w:rPr>
          <w:sz w:val="24"/>
          <w:szCs w:val="24"/>
        </w:rPr>
        <w:t>portant sur les critères permettant</w:t>
      </w:r>
      <w:r w:rsidRPr="007B6808">
        <w:rPr>
          <w:sz w:val="24"/>
          <w:szCs w:val="24"/>
        </w:rPr>
        <w:t xml:space="preserve"> </w:t>
      </w:r>
      <w:r w:rsidR="00B46956">
        <w:rPr>
          <w:sz w:val="24"/>
          <w:szCs w:val="24"/>
        </w:rPr>
        <w:t>d’</w:t>
      </w:r>
      <w:r w:rsidRPr="007B6808">
        <w:rPr>
          <w:sz w:val="24"/>
          <w:szCs w:val="24"/>
        </w:rPr>
        <w:t>accompagner la restructuration des branches (d’ici le début de l’année 2016)</w:t>
      </w:r>
      <w:r>
        <w:rPr>
          <w:sz w:val="24"/>
          <w:szCs w:val="24"/>
        </w:rPr>
        <w:t>.</w:t>
      </w:r>
    </w:p>
    <w:p w:rsidR="007B6808" w:rsidRPr="007B6808" w:rsidRDefault="007B6808" w:rsidP="007B6808">
      <w:pPr>
        <w:pStyle w:val="Paragraphedeliste"/>
        <w:jc w:val="both"/>
        <w:rPr>
          <w:sz w:val="24"/>
          <w:szCs w:val="24"/>
        </w:rPr>
      </w:pPr>
    </w:p>
    <w:p w:rsidR="006408F6" w:rsidRDefault="00F92D0C" w:rsidP="007B6808">
      <w:pPr>
        <w:pStyle w:val="Paragraphedeliste"/>
        <w:numPr>
          <w:ilvl w:val="0"/>
          <w:numId w:val="10"/>
        </w:numPr>
        <w:jc w:val="both"/>
        <w:rPr>
          <w:sz w:val="24"/>
          <w:szCs w:val="24"/>
        </w:rPr>
      </w:pPr>
      <w:r>
        <w:rPr>
          <w:sz w:val="24"/>
          <w:szCs w:val="24"/>
        </w:rPr>
        <w:t>Délibération relative à l’évolution de la politique du handicap (1</w:t>
      </w:r>
      <w:r w:rsidRPr="00F92D0C">
        <w:rPr>
          <w:sz w:val="24"/>
          <w:szCs w:val="24"/>
          <w:vertAlign w:val="superscript"/>
        </w:rPr>
        <w:t>er</w:t>
      </w:r>
      <w:r>
        <w:rPr>
          <w:sz w:val="24"/>
          <w:szCs w:val="24"/>
        </w:rPr>
        <w:t xml:space="preserve"> trimestre 2016)</w:t>
      </w:r>
      <w:r w:rsidR="00E44192">
        <w:rPr>
          <w:sz w:val="24"/>
          <w:szCs w:val="24"/>
        </w:rPr>
        <w:t>.</w:t>
      </w:r>
    </w:p>
    <w:p w:rsidR="006408F6" w:rsidRDefault="006408F6" w:rsidP="006408F6">
      <w:pPr>
        <w:pStyle w:val="Paragraphedeliste"/>
        <w:jc w:val="both"/>
        <w:rPr>
          <w:sz w:val="24"/>
          <w:szCs w:val="24"/>
        </w:rPr>
      </w:pPr>
    </w:p>
    <w:p w:rsidR="005170C8" w:rsidRPr="006408F6" w:rsidRDefault="00D45D30" w:rsidP="007B6808">
      <w:pPr>
        <w:pStyle w:val="Paragraphedeliste"/>
        <w:numPr>
          <w:ilvl w:val="0"/>
          <w:numId w:val="10"/>
        </w:numPr>
        <w:jc w:val="both"/>
        <w:rPr>
          <w:sz w:val="24"/>
          <w:szCs w:val="24"/>
        </w:rPr>
      </w:pPr>
      <w:r w:rsidRPr="006408F6">
        <w:rPr>
          <w:sz w:val="24"/>
          <w:szCs w:val="24"/>
        </w:rPr>
        <w:t xml:space="preserve">Délibération visant à mettre à disposition des branches professionnelles les outils nécessaires à la construction d’une GPEC de branche </w:t>
      </w:r>
      <w:r w:rsidR="00A544C1" w:rsidRPr="006408F6">
        <w:rPr>
          <w:sz w:val="24"/>
          <w:szCs w:val="24"/>
        </w:rPr>
        <w:t xml:space="preserve">et territoriale </w:t>
      </w:r>
      <w:r w:rsidRPr="006408F6">
        <w:rPr>
          <w:sz w:val="24"/>
          <w:szCs w:val="24"/>
        </w:rPr>
        <w:t>et d’une politique de développement de</w:t>
      </w:r>
      <w:r w:rsidR="0087445F" w:rsidRPr="006408F6">
        <w:rPr>
          <w:sz w:val="24"/>
          <w:szCs w:val="24"/>
        </w:rPr>
        <w:t xml:space="preserve">s qualifications : ouverture avant l’été </w:t>
      </w:r>
      <w:r w:rsidRPr="006408F6">
        <w:rPr>
          <w:sz w:val="24"/>
          <w:szCs w:val="24"/>
        </w:rPr>
        <w:t xml:space="preserve">et conclusion </w:t>
      </w:r>
      <w:r w:rsidR="005F0437" w:rsidRPr="006408F6">
        <w:rPr>
          <w:sz w:val="24"/>
          <w:szCs w:val="24"/>
        </w:rPr>
        <w:t>avant la fin de l’année civile</w:t>
      </w:r>
      <w:r w:rsidR="00A544C1" w:rsidRPr="006408F6">
        <w:rPr>
          <w:sz w:val="24"/>
          <w:szCs w:val="24"/>
        </w:rPr>
        <w:t>. Ce travail sur le développement des compétences et des qualifications conduira, sur une trajectoire pluriannuelle, les branches professionnelles à prendre en compte la montée en compétences des salariés dans le cadre de leur négo</w:t>
      </w:r>
      <w:r w:rsidR="001378C1" w:rsidRPr="006408F6">
        <w:rPr>
          <w:sz w:val="24"/>
          <w:szCs w:val="24"/>
        </w:rPr>
        <w:t>ci</w:t>
      </w:r>
      <w:r w:rsidR="0087445F" w:rsidRPr="006408F6">
        <w:rPr>
          <w:sz w:val="24"/>
          <w:szCs w:val="24"/>
        </w:rPr>
        <w:t>ation sur les classifications</w:t>
      </w:r>
      <w:r w:rsidR="005E1594" w:rsidRPr="006408F6">
        <w:rPr>
          <w:sz w:val="24"/>
          <w:szCs w:val="24"/>
        </w:rPr>
        <w:t xml:space="preserve"> (début d’année 2016). </w:t>
      </w:r>
    </w:p>
    <w:p w:rsidR="006408F6" w:rsidRDefault="006408F6" w:rsidP="006408F6">
      <w:pPr>
        <w:jc w:val="both"/>
        <w:rPr>
          <w:sz w:val="24"/>
          <w:szCs w:val="24"/>
        </w:rPr>
      </w:pPr>
    </w:p>
    <w:p w:rsidR="005557D8" w:rsidRPr="006408F6" w:rsidRDefault="006408F6" w:rsidP="006408F6">
      <w:pPr>
        <w:jc w:val="both"/>
        <w:rPr>
          <w:b/>
          <w:sz w:val="24"/>
          <w:szCs w:val="24"/>
          <w:u w:val="single"/>
        </w:rPr>
      </w:pPr>
      <w:r w:rsidRPr="006408F6">
        <w:rPr>
          <w:b/>
          <w:sz w:val="24"/>
          <w:szCs w:val="24"/>
          <w:u w:val="single"/>
        </w:rPr>
        <w:t>Evaluation</w:t>
      </w:r>
      <w:r>
        <w:rPr>
          <w:b/>
          <w:sz w:val="24"/>
          <w:szCs w:val="24"/>
          <w:u w:val="single"/>
        </w:rPr>
        <w:t>s et comité</w:t>
      </w:r>
      <w:r w:rsidR="004976B0">
        <w:rPr>
          <w:b/>
          <w:sz w:val="24"/>
          <w:szCs w:val="24"/>
          <w:u w:val="single"/>
        </w:rPr>
        <w:t>s</w:t>
      </w:r>
      <w:r>
        <w:rPr>
          <w:b/>
          <w:sz w:val="24"/>
          <w:szCs w:val="24"/>
          <w:u w:val="single"/>
        </w:rPr>
        <w:t xml:space="preserve"> de suivi</w:t>
      </w:r>
    </w:p>
    <w:p w:rsidR="005E1594" w:rsidRPr="007B6808" w:rsidRDefault="005E1594" w:rsidP="007B6808">
      <w:pPr>
        <w:pStyle w:val="Paragraphedeliste"/>
        <w:numPr>
          <w:ilvl w:val="0"/>
          <w:numId w:val="11"/>
        </w:numPr>
        <w:jc w:val="both"/>
        <w:rPr>
          <w:sz w:val="24"/>
          <w:szCs w:val="24"/>
        </w:rPr>
      </w:pPr>
      <w:r w:rsidRPr="007B6808">
        <w:rPr>
          <w:sz w:val="24"/>
          <w:szCs w:val="24"/>
        </w:rPr>
        <w:t xml:space="preserve">Poursuite du travail d’évaluation des accords nationaux interprofessionnels afin d’envisager, en tant que de besoin, les ajustements ou évolutions nécessaires: </w:t>
      </w:r>
    </w:p>
    <w:p w:rsidR="005E1594" w:rsidRPr="006618D5" w:rsidRDefault="005E1594" w:rsidP="005E1594">
      <w:pPr>
        <w:pStyle w:val="Paragraphedeliste"/>
        <w:rPr>
          <w:sz w:val="24"/>
          <w:szCs w:val="24"/>
        </w:rPr>
      </w:pPr>
    </w:p>
    <w:p w:rsidR="005E1594" w:rsidRDefault="005E1594" w:rsidP="007B6808">
      <w:pPr>
        <w:pStyle w:val="Paragraphedeliste"/>
        <w:numPr>
          <w:ilvl w:val="1"/>
          <w:numId w:val="11"/>
        </w:numPr>
        <w:jc w:val="both"/>
        <w:rPr>
          <w:sz w:val="24"/>
          <w:szCs w:val="24"/>
        </w:rPr>
      </w:pPr>
      <w:r>
        <w:rPr>
          <w:sz w:val="24"/>
          <w:szCs w:val="24"/>
        </w:rPr>
        <w:t>du 11 janvier 2008 et du 11 janvier 2013 (marché du travail et sécurisation de l’emploi) : sur la base du premier travail d’évaluation effectué en 2015, sollicitation des organismes extérieurs pour procéder aux évaluations qualitatives décidées paritairement</w:t>
      </w:r>
      <w:r w:rsidR="00E44192">
        <w:rPr>
          <w:sz w:val="24"/>
          <w:szCs w:val="24"/>
        </w:rPr>
        <w:t> ;</w:t>
      </w:r>
    </w:p>
    <w:p w:rsidR="005E1594" w:rsidRDefault="005E1594" w:rsidP="005E1594">
      <w:pPr>
        <w:pStyle w:val="Paragraphedeliste"/>
        <w:ind w:left="1440"/>
        <w:jc w:val="both"/>
        <w:rPr>
          <w:sz w:val="24"/>
          <w:szCs w:val="24"/>
        </w:rPr>
      </w:pPr>
    </w:p>
    <w:p w:rsidR="005E1594" w:rsidRPr="005E1594" w:rsidRDefault="005E1594" w:rsidP="007B6808">
      <w:pPr>
        <w:pStyle w:val="Paragraphedeliste"/>
        <w:numPr>
          <w:ilvl w:val="1"/>
          <w:numId w:val="11"/>
        </w:numPr>
        <w:jc w:val="both"/>
        <w:rPr>
          <w:sz w:val="24"/>
          <w:szCs w:val="24"/>
        </w:rPr>
      </w:pPr>
      <w:r w:rsidRPr="005E1594">
        <w:rPr>
          <w:sz w:val="24"/>
          <w:szCs w:val="24"/>
        </w:rPr>
        <w:t>du 17 février 2012 (modernisation du paritarisme)</w:t>
      </w:r>
      <w:r w:rsidR="00E44192">
        <w:rPr>
          <w:sz w:val="24"/>
          <w:szCs w:val="24"/>
        </w:rPr>
        <w:t> ;</w:t>
      </w:r>
    </w:p>
    <w:p w:rsidR="005E1594" w:rsidRPr="00642112" w:rsidRDefault="005E1594" w:rsidP="005E1594">
      <w:pPr>
        <w:pStyle w:val="Paragraphedeliste"/>
        <w:rPr>
          <w:sz w:val="24"/>
          <w:szCs w:val="24"/>
        </w:rPr>
      </w:pPr>
    </w:p>
    <w:p w:rsidR="005E1594" w:rsidRDefault="005E1594" w:rsidP="007B6808">
      <w:pPr>
        <w:pStyle w:val="Paragraphedeliste"/>
        <w:numPr>
          <w:ilvl w:val="1"/>
          <w:numId w:val="11"/>
        </w:numPr>
        <w:jc w:val="both"/>
        <w:rPr>
          <w:sz w:val="24"/>
          <w:szCs w:val="24"/>
        </w:rPr>
      </w:pPr>
      <w:r w:rsidRPr="00642112">
        <w:rPr>
          <w:sz w:val="24"/>
          <w:szCs w:val="24"/>
        </w:rPr>
        <w:t>du 12 octobre 2006 (</w:t>
      </w:r>
      <w:r>
        <w:rPr>
          <w:sz w:val="24"/>
          <w:szCs w:val="24"/>
        </w:rPr>
        <w:t>diversité</w:t>
      </w:r>
      <w:r w:rsidRPr="00642112">
        <w:rPr>
          <w:sz w:val="24"/>
          <w:szCs w:val="24"/>
        </w:rPr>
        <w:t>)</w:t>
      </w:r>
      <w:r w:rsidR="00E44192">
        <w:rPr>
          <w:sz w:val="24"/>
          <w:szCs w:val="24"/>
        </w:rPr>
        <w:t> ;</w:t>
      </w:r>
    </w:p>
    <w:p w:rsidR="005E1594" w:rsidRPr="003C3C90" w:rsidRDefault="005E1594" w:rsidP="005E1594">
      <w:pPr>
        <w:pStyle w:val="Paragraphedeliste"/>
        <w:rPr>
          <w:sz w:val="24"/>
          <w:szCs w:val="24"/>
        </w:rPr>
      </w:pPr>
    </w:p>
    <w:p w:rsidR="005E1594" w:rsidRDefault="005E1594" w:rsidP="007B6808">
      <w:pPr>
        <w:pStyle w:val="Paragraphedeliste"/>
        <w:numPr>
          <w:ilvl w:val="1"/>
          <w:numId w:val="11"/>
        </w:numPr>
        <w:jc w:val="both"/>
        <w:rPr>
          <w:sz w:val="24"/>
          <w:szCs w:val="24"/>
        </w:rPr>
      </w:pPr>
      <w:r w:rsidRPr="003C3C90">
        <w:rPr>
          <w:sz w:val="24"/>
          <w:szCs w:val="24"/>
        </w:rPr>
        <w:t>du 8 juill</w:t>
      </w:r>
      <w:r w:rsidR="00B46956">
        <w:rPr>
          <w:sz w:val="24"/>
          <w:szCs w:val="24"/>
        </w:rPr>
        <w:t>et 2009 (gouvernance des groupes de protection sociale</w:t>
      </w:r>
      <w:r w:rsidR="00E44192">
        <w:rPr>
          <w:sz w:val="24"/>
          <w:szCs w:val="24"/>
        </w:rPr>
        <w:t>).</w:t>
      </w:r>
    </w:p>
    <w:p w:rsidR="006408F6" w:rsidRDefault="006408F6" w:rsidP="006408F6">
      <w:pPr>
        <w:pStyle w:val="Paragraphedeliste"/>
        <w:ind w:left="1440"/>
        <w:jc w:val="both"/>
        <w:rPr>
          <w:sz w:val="24"/>
          <w:szCs w:val="24"/>
        </w:rPr>
      </w:pPr>
    </w:p>
    <w:p w:rsidR="006408F6" w:rsidRDefault="006408F6" w:rsidP="007B6808">
      <w:pPr>
        <w:pStyle w:val="Paragraphedeliste"/>
        <w:numPr>
          <w:ilvl w:val="0"/>
          <w:numId w:val="11"/>
        </w:numPr>
        <w:jc w:val="both"/>
        <w:rPr>
          <w:sz w:val="24"/>
          <w:szCs w:val="24"/>
        </w:rPr>
      </w:pPr>
      <w:r w:rsidRPr="008C62C5">
        <w:rPr>
          <w:sz w:val="24"/>
          <w:szCs w:val="24"/>
        </w:rPr>
        <w:t>Réunion</w:t>
      </w:r>
      <w:r w:rsidR="00796332">
        <w:rPr>
          <w:sz w:val="24"/>
          <w:szCs w:val="24"/>
        </w:rPr>
        <w:t xml:space="preserve"> du c</w:t>
      </w:r>
      <w:r>
        <w:rPr>
          <w:sz w:val="24"/>
          <w:szCs w:val="24"/>
        </w:rPr>
        <w:t xml:space="preserve">omité de suivi des ORST </w:t>
      </w:r>
      <w:r w:rsidRPr="008C62C5">
        <w:rPr>
          <w:sz w:val="24"/>
          <w:szCs w:val="24"/>
        </w:rPr>
        <w:t>pour préparer une négociation sur la transformati</w:t>
      </w:r>
      <w:r>
        <w:rPr>
          <w:sz w:val="24"/>
          <w:szCs w:val="24"/>
        </w:rPr>
        <w:t>on des ORST en COPAREST, conformément au</w:t>
      </w:r>
      <w:r w:rsidRPr="008C62C5">
        <w:rPr>
          <w:sz w:val="24"/>
          <w:szCs w:val="24"/>
        </w:rPr>
        <w:t xml:space="preserve"> relevé de conclusions paritaire du 11 mars 2014</w:t>
      </w:r>
      <w:r>
        <w:rPr>
          <w:sz w:val="24"/>
          <w:szCs w:val="24"/>
        </w:rPr>
        <w:t xml:space="preserve"> (début 2016)</w:t>
      </w:r>
      <w:r w:rsidR="00E44192">
        <w:rPr>
          <w:sz w:val="24"/>
          <w:szCs w:val="24"/>
        </w:rPr>
        <w:t>.</w:t>
      </w:r>
    </w:p>
    <w:p w:rsidR="006408F6" w:rsidRDefault="006408F6" w:rsidP="006408F6">
      <w:pPr>
        <w:pStyle w:val="Paragraphedeliste"/>
        <w:jc w:val="both"/>
        <w:rPr>
          <w:sz w:val="24"/>
          <w:szCs w:val="24"/>
        </w:rPr>
      </w:pPr>
    </w:p>
    <w:p w:rsidR="000A410A" w:rsidRPr="00D9242A" w:rsidRDefault="005E1594" w:rsidP="00D9242A">
      <w:pPr>
        <w:pStyle w:val="Paragraphedeliste"/>
        <w:numPr>
          <w:ilvl w:val="0"/>
          <w:numId w:val="11"/>
        </w:numPr>
        <w:jc w:val="both"/>
        <w:rPr>
          <w:sz w:val="24"/>
          <w:szCs w:val="24"/>
        </w:rPr>
      </w:pPr>
      <w:r w:rsidRPr="006408F6">
        <w:rPr>
          <w:sz w:val="24"/>
          <w:szCs w:val="24"/>
        </w:rPr>
        <w:t xml:space="preserve">Mise en place du </w:t>
      </w:r>
      <w:r w:rsidR="00B46956">
        <w:rPr>
          <w:sz w:val="24"/>
          <w:szCs w:val="24"/>
        </w:rPr>
        <w:t>comité de suivi de l’accord</w:t>
      </w:r>
      <w:r w:rsidRPr="006408F6">
        <w:rPr>
          <w:sz w:val="24"/>
          <w:szCs w:val="24"/>
        </w:rPr>
        <w:t xml:space="preserve"> du 19 juin 2</w:t>
      </w:r>
      <w:r w:rsidR="00E44192">
        <w:rPr>
          <w:sz w:val="24"/>
          <w:szCs w:val="24"/>
        </w:rPr>
        <w:t>013 (qualité de vie au travail).</w:t>
      </w:r>
    </w:p>
    <w:sectPr w:rsidR="000A410A" w:rsidRPr="00D9242A" w:rsidSect="00BC48F3">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95" w:rsidRDefault="00252795" w:rsidP="00BC48F3">
      <w:pPr>
        <w:spacing w:after="0" w:line="240" w:lineRule="auto"/>
      </w:pPr>
      <w:r>
        <w:separator/>
      </w:r>
    </w:p>
  </w:endnote>
  <w:endnote w:type="continuationSeparator" w:id="0">
    <w:p w:rsidR="00252795" w:rsidRDefault="00252795" w:rsidP="00BC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301"/>
      <w:docPartObj>
        <w:docPartGallery w:val="Page Numbers (Bottom of Page)"/>
        <w:docPartUnique/>
      </w:docPartObj>
    </w:sdtPr>
    <w:sdtEndPr/>
    <w:sdtContent>
      <w:p w:rsidR="00753566" w:rsidRDefault="00753566">
        <w:pPr>
          <w:pStyle w:val="Pieddepage"/>
          <w:jc w:val="right"/>
        </w:pPr>
        <w:r>
          <w:fldChar w:fldCharType="begin"/>
        </w:r>
        <w:r>
          <w:instrText>PAGE   \* MERGEFORMAT</w:instrText>
        </w:r>
        <w:r>
          <w:fldChar w:fldCharType="separate"/>
        </w:r>
        <w:r w:rsidR="00796332">
          <w:rPr>
            <w:noProof/>
          </w:rPr>
          <w:t>1</w:t>
        </w:r>
        <w:r>
          <w:fldChar w:fldCharType="end"/>
        </w:r>
      </w:p>
    </w:sdtContent>
  </w:sdt>
  <w:p w:rsidR="00753566" w:rsidRDefault="007535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95" w:rsidRDefault="00252795" w:rsidP="00BC48F3">
      <w:pPr>
        <w:spacing w:after="0" w:line="240" w:lineRule="auto"/>
      </w:pPr>
      <w:r>
        <w:separator/>
      </w:r>
    </w:p>
  </w:footnote>
  <w:footnote w:type="continuationSeparator" w:id="0">
    <w:p w:rsidR="00252795" w:rsidRDefault="00252795" w:rsidP="00BC4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DED"/>
    <w:multiLevelType w:val="hybridMultilevel"/>
    <w:tmpl w:val="32F09A0A"/>
    <w:lvl w:ilvl="0" w:tplc="4004406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23033F"/>
    <w:multiLevelType w:val="hybridMultilevel"/>
    <w:tmpl w:val="77C42E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351A50"/>
    <w:multiLevelType w:val="hybridMultilevel"/>
    <w:tmpl w:val="2EFCD8A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553969"/>
    <w:multiLevelType w:val="hybridMultilevel"/>
    <w:tmpl w:val="FEDCD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4E423E"/>
    <w:multiLevelType w:val="hybridMultilevel"/>
    <w:tmpl w:val="697C1072"/>
    <w:lvl w:ilvl="0" w:tplc="40044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4A701B"/>
    <w:multiLevelType w:val="hybridMultilevel"/>
    <w:tmpl w:val="F14C7264"/>
    <w:lvl w:ilvl="0" w:tplc="0AEA2564">
      <w:start w:val="9"/>
      <w:numFmt w:val="bullet"/>
      <w:lvlText w:val="-"/>
      <w:lvlJc w:val="left"/>
      <w:pPr>
        <w:ind w:left="720" w:hanging="360"/>
      </w:pPr>
      <w:rPr>
        <w:rFonts w:ascii="Calibri" w:eastAsia="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05218B9"/>
    <w:multiLevelType w:val="hybridMultilevel"/>
    <w:tmpl w:val="204EAB42"/>
    <w:lvl w:ilvl="0" w:tplc="8D6CFC44">
      <w:start w:val="1"/>
      <w:numFmt w:val="decimal"/>
      <w:lvlText w:val="%1."/>
      <w:lvlJc w:val="left"/>
      <w:pPr>
        <w:ind w:left="720" w:hanging="360"/>
      </w:pPr>
      <w:rPr>
        <w:rFonts w:asciiTheme="minorHAnsi" w:eastAsiaTheme="minorHAnsi" w:hAnsiTheme="minorHAnsi" w:cstheme="minorBidi"/>
      </w:rPr>
    </w:lvl>
    <w:lvl w:ilvl="1" w:tplc="040C0019">
      <w:start w:val="1"/>
      <w:numFmt w:val="lowerLetter"/>
      <w:lvlText w:val="%2."/>
      <w:lvlJc w:val="left"/>
      <w:pPr>
        <w:ind w:left="1440" w:hanging="360"/>
      </w:pPr>
    </w:lvl>
    <w:lvl w:ilvl="2" w:tplc="8CF40D68">
      <w:start w:val="5"/>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614294"/>
    <w:multiLevelType w:val="hybridMultilevel"/>
    <w:tmpl w:val="E14A74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E569F0"/>
    <w:multiLevelType w:val="hybridMultilevel"/>
    <w:tmpl w:val="38B6024A"/>
    <w:lvl w:ilvl="0" w:tplc="040C000F">
      <w:start w:val="7"/>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575880"/>
    <w:multiLevelType w:val="hybridMultilevel"/>
    <w:tmpl w:val="FCA6F55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7A1127F6"/>
    <w:multiLevelType w:val="hybridMultilevel"/>
    <w:tmpl w:val="6D62C8AC"/>
    <w:lvl w:ilvl="0" w:tplc="B78620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4"/>
  </w:num>
  <w:num w:numId="3">
    <w:abstractNumId w:val="6"/>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CB"/>
    <w:rsid w:val="000A410A"/>
    <w:rsid w:val="0013314B"/>
    <w:rsid w:val="001378C1"/>
    <w:rsid w:val="001562B6"/>
    <w:rsid w:val="00174449"/>
    <w:rsid w:val="00190D87"/>
    <w:rsid w:val="00212651"/>
    <w:rsid w:val="002508EB"/>
    <w:rsid w:val="00252795"/>
    <w:rsid w:val="00286921"/>
    <w:rsid w:val="002B4405"/>
    <w:rsid w:val="002C61E5"/>
    <w:rsid w:val="00334267"/>
    <w:rsid w:val="003713FE"/>
    <w:rsid w:val="003A0A5D"/>
    <w:rsid w:val="003B0D92"/>
    <w:rsid w:val="003C3C90"/>
    <w:rsid w:val="004138D5"/>
    <w:rsid w:val="00462434"/>
    <w:rsid w:val="004976B0"/>
    <w:rsid w:val="004A6CCE"/>
    <w:rsid w:val="005170C8"/>
    <w:rsid w:val="005557D8"/>
    <w:rsid w:val="005B1738"/>
    <w:rsid w:val="005E1594"/>
    <w:rsid w:val="005F0437"/>
    <w:rsid w:val="00603623"/>
    <w:rsid w:val="00626A3C"/>
    <w:rsid w:val="006408F6"/>
    <w:rsid w:val="00642112"/>
    <w:rsid w:val="006618D5"/>
    <w:rsid w:val="006A3428"/>
    <w:rsid w:val="0074456E"/>
    <w:rsid w:val="00753566"/>
    <w:rsid w:val="00796332"/>
    <w:rsid w:val="007A0978"/>
    <w:rsid w:val="007B6808"/>
    <w:rsid w:val="007B6A71"/>
    <w:rsid w:val="0082570A"/>
    <w:rsid w:val="0087445F"/>
    <w:rsid w:val="008A23DE"/>
    <w:rsid w:val="008C62C5"/>
    <w:rsid w:val="008E4F7E"/>
    <w:rsid w:val="0092712A"/>
    <w:rsid w:val="009A2BAB"/>
    <w:rsid w:val="009C59C5"/>
    <w:rsid w:val="00A00522"/>
    <w:rsid w:val="00A118E9"/>
    <w:rsid w:val="00A44FF9"/>
    <w:rsid w:val="00A544C1"/>
    <w:rsid w:val="00AE08BF"/>
    <w:rsid w:val="00B46956"/>
    <w:rsid w:val="00BA1CCB"/>
    <w:rsid w:val="00BC48F3"/>
    <w:rsid w:val="00C45DE8"/>
    <w:rsid w:val="00D45D30"/>
    <w:rsid w:val="00D9242A"/>
    <w:rsid w:val="00D93AB6"/>
    <w:rsid w:val="00D94BB3"/>
    <w:rsid w:val="00DE204B"/>
    <w:rsid w:val="00E44192"/>
    <w:rsid w:val="00EC5F49"/>
    <w:rsid w:val="00F81E67"/>
    <w:rsid w:val="00F90488"/>
    <w:rsid w:val="00F92D0C"/>
    <w:rsid w:val="00FD4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CCB"/>
    <w:pPr>
      <w:ind w:left="720"/>
      <w:contextualSpacing/>
    </w:pPr>
  </w:style>
  <w:style w:type="paragraph" w:styleId="Textebrut">
    <w:name w:val="Plain Text"/>
    <w:basedOn w:val="Normal"/>
    <w:link w:val="TextebrutCar"/>
    <w:uiPriority w:val="99"/>
    <w:unhideWhenUsed/>
    <w:rsid w:val="0064211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642112"/>
    <w:rPr>
      <w:rFonts w:ascii="Calibri" w:hAnsi="Calibri" w:cs="Consolas"/>
      <w:szCs w:val="21"/>
    </w:rPr>
  </w:style>
  <w:style w:type="paragraph" w:styleId="En-tte">
    <w:name w:val="header"/>
    <w:basedOn w:val="Normal"/>
    <w:link w:val="En-tteCar"/>
    <w:uiPriority w:val="99"/>
    <w:unhideWhenUsed/>
    <w:rsid w:val="00BC48F3"/>
    <w:pPr>
      <w:tabs>
        <w:tab w:val="center" w:pos="4536"/>
        <w:tab w:val="right" w:pos="9072"/>
      </w:tabs>
      <w:spacing w:after="0" w:line="240" w:lineRule="auto"/>
    </w:pPr>
  </w:style>
  <w:style w:type="character" w:customStyle="1" w:styleId="En-tteCar">
    <w:name w:val="En-tête Car"/>
    <w:basedOn w:val="Policepardfaut"/>
    <w:link w:val="En-tte"/>
    <w:uiPriority w:val="99"/>
    <w:rsid w:val="00BC48F3"/>
  </w:style>
  <w:style w:type="paragraph" w:styleId="Pieddepage">
    <w:name w:val="footer"/>
    <w:basedOn w:val="Normal"/>
    <w:link w:val="PieddepageCar"/>
    <w:uiPriority w:val="99"/>
    <w:unhideWhenUsed/>
    <w:rsid w:val="00BC4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8F3"/>
  </w:style>
  <w:style w:type="paragraph" w:styleId="Textedebulles">
    <w:name w:val="Balloon Text"/>
    <w:basedOn w:val="Normal"/>
    <w:link w:val="TextedebullesCar"/>
    <w:uiPriority w:val="99"/>
    <w:semiHidden/>
    <w:unhideWhenUsed/>
    <w:rsid w:val="00BC48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CCB"/>
    <w:pPr>
      <w:ind w:left="720"/>
      <w:contextualSpacing/>
    </w:pPr>
  </w:style>
  <w:style w:type="paragraph" w:styleId="Textebrut">
    <w:name w:val="Plain Text"/>
    <w:basedOn w:val="Normal"/>
    <w:link w:val="TextebrutCar"/>
    <w:uiPriority w:val="99"/>
    <w:unhideWhenUsed/>
    <w:rsid w:val="0064211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642112"/>
    <w:rPr>
      <w:rFonts w:ascii="Calibri" w:hAnsi="Calibri" w:cs="Consolas"/>
      <w:szCs w:val="21"/>
    </w:rPr>
  </w:style>
  <w:style w:type="paragraph" w:styleId="En-tte">
    <w:name w:val="header"/>
    <w:basedOn w:val="Normal"/>
    <w:link w:val="En-tteCar"/>
    <w:uiPriority w:val="99"/>
    <w:unhideWhenUsed/>
    <w:rsid w:val="00BC48F3"/>
    <w:pPr>
      <w:tabs>
        <w:tab w:val="center" w:pos="4536"/>
        <w:tab w:val="right" w:pos="9072"/>
      </w:tabs>
      <w:spacing w:after="0" w:line="240" w:lineRule="auto"/>
    </w:pPr>
  </w:style>
  <w:style w:type="character" w:customStyle="1" w:styleId="En-tteCar">
    <w:name w:val="En-tête Car"/>
    <w:basedOn w:val="Policepardfaut"/>
    <w:link w:val="En-tte"/>
    <w:uiPriority w:val="99"/>
    <w:rsid w:val="00BC48F3"/>
  </w:style>
  <w:style w:type="paragraph" w:styleId="Pieddepage">
    <w:name w:val="footer"/>
    <w:basedOn w:val="Normal"/>
    <w:link w:val="PieddepageCar"/>
    <w:uiPriority w:val="99"/>
    <w:unhideWhenUsed/>
    <w:rsid w:val="00BC4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8F3"/>
  </w:style>
  <w:style w:type="paragraph" w:styleId="Textedebulles">
    <w:name w:val="Balloon Text"/>
    <w:basedOn w:val="Normal"/>
    <w:link w:val="TextedebullesCar"/>
    <w:uiPriority w:val="99"/>
    <w:semiHidden/>
    <w:unhideWhenUsed/>
    <w:rsid w:val="00BC48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495">
      <w:bodyDiv w:val="1"/>
      <w:marLeft w:val="0"/>
      <w:marRight w:val="0"/>
      <w:marTop w:val="0"/>
      <w:marBottom w:val="0"/>
      <w:divBdr>
        <w:top w:val="none" w:sz="0" w:space="0" w:color="auto"/>
        <w:left w:val="none" w:sz="0" w:space="0" w:color="auto"/>
        <w:bottom w:val="none" w:sz="0" w:space="0" w:color="auto"/>
        <w:right w:val="none" w:sz="0" w:space="0" w:color="auto"/>
      </w:divBdr>
    </w:div>
    <w:div w:id="640119213">
      <w:bodyDiv w:val="1"/>
      <w:marLeft w:val="0"/>
      <w:marRight w:val="0"/>
      <w:marTop w:val="0"/>
      <w:marBottom w:val="0"/>
      <w:divBdr>
        <w:top w:val="none" w:sz="0" w:space="0" w:color="auto"/>
        <w:left w:val="none" w:sz="0" w:space="0" w:color="auto"/>
        <w:bottom w:val="none" w:sz="0" w:space="0" w:color="auto"/>
        <w:right w:val="none" w:sz="0" w:space="0" w:color="auto"/>
      </w:divBdr>
    </w:div>
    <w:div w:id="752435049">
      <w:bodyDiv w:val="1"/>
      <w:marLeft w:val="0"/>
      <w:marRight w:val="0"/>
      <w:marTop w:val="0"/>
      <w:marBottom w:val="0"/>
      <w:divBdr>
        <w:top w:val="none" w:sz="0" w:space="0" w:color="auto"/>
        <w:left w:val="none" w:sz="0" w:space="0" w:color="auto"/>
        <w:bottom w:val="none" w:sz="0" w:space="0" w:color="auto"/>
        <w:right w:val="none" w:sz="0" w:space="0" w:color="auto"/>
      </w:divBdr>
    </w:div>
    <w:div w:id="1322734512">
      <w:bodyDiv w:val="1"/>
      <w:marLeft w:val="0"/>
      <w:marRight w:val="0"/>
      <w:marTop w:val="0"/>
      <w:marBottom w:val="0"/>
      <w:divBdr>
        <w:top w:val="none" w:sz="0" w:space="0" w:color="auto"/>
        <w:left w:val="none" w:sz="0" w:space="0" w:color="auto"/>
        <w:bottom w:val="none" w:sz="0" w:space="0" w:color="auto"/>
        <w:right w:val="none" w:sz="0" w:space="0" w:color="auto"/>
      </w:divBdr>
    </w:div>
    <w:div w:id="21368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3</Pages>
  <Words>778</Words>
  <Characters>4283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FOUCHER Antoine</dc:creator>
  <cp:lastModifiedBy>FOUCHER Antoine</cp:lastModifiedBy>
  <cp:revision>36</cp:revision>
  <cp:lastPrinted>2015-11-09T12:00:00Z</cp:lastPrinted>
  <dcterms:created xsi:type="dcterms:W3CDTF">2014-09-05T12:23:00Z</dcterms:created>
  <dcterms:modified xsi:type="dcterms:W3CDTF">2015-11-10T15:44:00Z</dcterms:modified>
</cp:coreProperties>
</file>