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EEF17" w14:textId="77777777" w:rsidR="00D902E9" w:rsidRPr="00D902E9" w:rsidRDefault="00D902E9" w:rsidP="00D902E9">
      <w:bookmarkStart w:id="0" w:name="_GoBack"/>
      <w:bookmarkEnd w:id="0"/>
    </w:p>
    <w:p w14:paraId="0AF73347" w14:textId="78AC6F27" w:rsidR="00D902E9" w:rsidRPr="00787B65" w:rsidRDefault="00D902E9" w:rsidP="00FE5D16">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jc w:val="center"/>
        <w:rPr>
          <w:rFonts w:asciiTheme="majorHAnsi" w:hAnsiTheme="majorHAnsi"/>
          <w:color w:val="244061" w:themeColor="accent1" w:themeShade="80"/>
          <w:sz w:val="28"/>
          <w:szCs w:val="28"/>
        </w:rPr>
      </w:pPr>
      <w:r w:rsidRPr="00787B65">
        <w:rPr>
          <w:rFonts w:asciiTheme="majorHAnsi" w:hAnsiTheme="majorHAnsi"/>
          <w:color w:val="244061" w:themeColor="accent1" w:themeShade="80"/>
          <w:sz w:val="28"/>
          <w:szCs w:val="28"/>
        </w:rPr>
        <w:t>ACCORD</w:t>
      </w:r>
      <w:r w:rsidR="002428E9">
        <w:rPr>
          <w:rFonts w:asciiTheme="majorHAnsi" w:hAnsiTheme="majorHAnsi"/>
          <w:color w:val="244061" w:themeColor="accent1" w:themeShade="80"/>
          <w:sz w:val="28"/>
          <w:szCs w:val="28"/>
        </w:rPr>
        <w:t xml:space="preserve"> D’ETABLISSEMENT</w:t>
      </w:r>
      <w:r w:rsidRPr="00787B65">
        <w:rPr>
          <w:rFonts w:asciiTheme="majorHAnsi" w:hAnsiTheme="majorHAnsi"/>
          <w:color w:val="244061" w:themeColor="accent1" w:themeShade="80"/>
          <w:sz w:val="28"/>
          <w:szCs w:val="28"/>
        </w:rPr>
        <w:t xml:space="preserve"> </w:t>
      </w:r>
      <w:r w:rsidR="00105892">
        <w:rPr>
          <w:rFonts w:asciiTheme="majorHAnsi" w:hAnsiTheme="majorHAnsi"/>
          <w:color w:val="244061" w:themeColor="accent1" w:themeShade="80"/>
          <w:sz w:val="28"/>
          <w:szCs w:val="28"/>
        </w:rPr>
        <w:t xml:space="preserve">DU </w:t>
      </w:r>
      <w:r w:rsidR="00553833">
        <w:rPr>
          <w:rFonts w:asciiTheme="majorHAnsi" w:hAnsiTheme="majorHAnsi"/>
          <w:color w:val="244061" w:themeColor="accent1" w:themeShade="80"/>
          <w:sz w:val="28"/>
          <w:szCs w:val="28"/>
        </w:rPr>
        <w:t>23 mars</w:t>
      </w:r>
      <w:r w:rsidR="00105892">
        <w:rPr>
          <w:rFonts w:asciiTheme="majorHAnsi" w:hAnsiTheme="majorHAnsi"/>
          <w:color w:val="244061" w:themeColor="accent1" w:themeShade="80"/>
          <w:sz w:val="28"/>
          <w:szCs w:val="28"/>
        </w:rPr>
        <w:t xml:space="preserve"> 2020</w:t>
      </w:r>
    </w:p>
    <w:p w14:paraId="4876F02D" w14:textId="77777777" w:rsidR="00D902E9" w:rsidRPr="00787B65" w:rsidRDefault="00D902E9" w:rsidP="00FE5D16">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jc w:val="center"/>
        <w:rPr>
          <w:rFonts w:asciiTheme="majorHAnsi" w:hAnsiTheme="majorHAnsi"/>
          <w:color w:val="244061" w:themeColor="accent1" w:themeShade="80"/>
          <w:sz w:val="28"/>
          <w:szCs w:val="28"/>
        </w:rPr>
      </w:pPr>
      <w:r w:rsidRPr="00787B65">
        <w:rPr>
          <w:rFonts w:asciiTheme="majorHAnsi" w:hAnsiTheme="majorHAnsi"/>
          <w:color w:val="244061" w:themeColor="accent1" w:themeShade="80"/>
          <w:sz w:val="28"/>
          <w:szCs w:val="28"/>
        </w:rPr>
        <w:t>SUR LES MODALITES D’EXERCICE DU TELETRAVAIL</w:t>
      </w:r>
    </w:p>
    <w:p w14:paraId="15E8CFD5" w14:textId="77777777" w:rsidR="00D902E9" w:rsidRPr="00787B65" w:rsidRDefault="00D902E9" w:rsidP="00FE5D16">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jc w:val="center"/>
        <w:rPr>
          <w:rFonts w:asciiTheme="majorHAnsi" w:hAnsiTheme="majorHAnsi"/>
          <w:color w:val="244061" w:themeColor="accent1" w:themeShade="80"/>
          <w:sz w:val="28"/>
          <w:szCs w:val="28"/>
        </w:rPr>
      </w:pPr>
      <w:r w:rsidRPr="00787B65">
        <w:rPr>
          <w:rFonts w:asciiTheme="majorHAnsi" w:hAnsiTheme="majorHAnsi"/>
          <w:color w:val="244061" w:themeColor="accent1" w:themeShade="80"/>
          <w:sz w:val="28"/>
          <w:szCs w:val="28"/>
        </w:rPr>
        <w:t xml:space="preserve">AU SEIN DE </w:t>
      </w:r>
      <w:r w:rsidR="002428E9">
        <w:rPr>
          <w:rFonts w:asciiTheme="majorHAnsi" w:hAnsiTheme="majorHAnsi"/>
          <w:color w:val="244061" w:themeColor="accent1" w:themeShade="80"/>
          <w:sz w:val="28"/>
          <w:szCs w:val="28"/>
        </w:rPr>
        <w:t>LA</w:t>
      </w:r>
      <w:r w:rsidRPr="00787B65">
        <w:rPr>
          <w:rFonts w:asciiTheme="majorHAnsi" w:hAnsiTheme="majorHAnsi"/>
          <w:color w:val="244061" w:themeColor="accent1" w:themeShade="80"/>
          <w:sz w:val="28"/>
          <w:szCs w:val="28"/>
        </w:rPr>
        <w:t xml:space="preserve"> </w:t>
      </w:r>
      <w:r w:rsidR="00A33DEF">
        <w:rPr>
          <w:rFonts w:asciiTheme="majorHAnsi" w:hAnsiTheme="majorHAnsi"/>
          <w:color w:val="244061" w:themeColor="accent1" w:themeShade="80"/>
          <w:sz w:val="28"/>
          <w:szCs w:val="28"/>
        </w:rPr>
        <w:t xml:space="preserve"> DSI</w:t>
      </w:r>
      <w:r w:rsidR="002428E9">
        <w:rPr>
          <w:rFonts w:asciiTheme="majorHAnsi" w:hAnsiTheme="majorHAnsi"/>
          <w:color w:val="244061" w:themeColor="accent1" w:themeShade="80"/>
          <w:sz w:val="28"/>
          <w:szCs w:val="28"/>
        </w:rPr>
        <w:t>-</w:t>
      </w:r>
      <w:r w:rsidRPr="00787B65">
        <w:rPr>
          <w:rFonts w:asciiTheme="majorHAnsi" w:hAnsiTheme="majorHAnsi"/>
          <w:color w:val="244061" w:themeColor="accent1" w:themeShade="80"/>
          <w:sz w:val="28"/>
          <w:szCs w:val="28"/>
        </w:rPr>
        <w:t xml:space="preserve">DCF </w:t>
      </w:r>
      <w:r w:rsidR="00A33DEF">
        <w:rPr>
          <w:rFonts w:asciiTheme="majorHAnsi" w:hAnsiTheme="majorHAnsi"/>
          <w:color w:val="244061" w:themeColor="accent1" w:themeShade="80"/>
          <w:sz w:val="28"/>
          <w:szCs w:val="28"/>
        </w:rPr>
        <w:t xml:space="preserve"> </w:t>
      </w:r>
    </w:p>
    <w:p w14:paraId="1F79DDEC" w14:textId="77777777" w:rsidR="006D1518" w:rsidRPr="007463D6" w:rsidRDefault="006D1518" w:rsidP="00D902E9"/>
    <w:p w14:paraId="21435B69" w14:textId="77777777" w:rsidR="006D1518" w:rsidRPr="007463D6" w:rsidRDefault="006D1518" w:rsidP="00D902E9">
      <w:pPr>
        <w:pStyle w:val="Sansinterligne"/>
      </w:pPr>
    </w:p>
    <w:p w14:paraId="30169939" w14:textId="77777777" w:rsidR="00D02904" w:rsidRPr="007D54B1" w:rsidRDefault="00D02904" w:rsidP="00D902E9">
      <w:r w:rsidRPr="007D54B1">
        <w:t>Entre les soussignés :</w:t>
      </w:r>
    </w:p>
    <w:p w14:paraId="6E00DD85" w14:textId="77777777" w:rsidR="00D02904" w:rsidRPr="007D54B1" w:rsidRDefault="00D02904" w:rsidP="00D902E9"/>
    <w:p w14:paraId="323F31E6" w14:textId="52D46679" w:rsidR="00D02904" w:rsidRPr="007D54B1" w:rsidRDefault="007463D6" w:rsidP="00D902E9">
      <w:r w:rsidRPr="007D54B1">
        <w:t xml:space="preserve">La Direction de l’établissement </w:t>
      </w:r>
      <w:r w:rsidR="00A618AC">
        <w:t>Direction des Systèmes d’Information</w:t>
      </w:r>
      <w:r w:rsidRPr="007D54B1">
        <w:t xml:space="preserve"> de la société Distribution Casino France</w:t>
      </w:r>
      <w:r w:rsidR="00FC60A4" w:rsidRPr="007D54B1">
        <w:t xml:space="preserve">, représentée par </w:t>
      </w:r>
      <w:r w:rsidR="00513BF1">
        <w:t>M. ----------------------------------</w:t>
      </w:r>
      <w:r w:rsidR="00D02904" w:rsidRPr="007D54B1">
        <w:t>, D</w:t>
      </w:r>
      <w:r w:rsidR="00513BF1">
        <w:t>irecteur (t</w:t>
      </w:r>
      <w:r w:rsidR="00A618AC">
        <w:t>rice</w:t>
      </w:r>
      <w:r w:rsidR="00513BF1">
        <w:t>)</w:t>
      </w:r>
      <w:r w:rsidR="00D02904" w:rsidRPr="007D54B1">
        <w:t xml:space="preserve"> des Ressources Humaines</w:t>
      </w:r>
      <w:r w:rsidR="00A618AC">
        <w:t xml:space="preserve"> DSI</w:t>
      </w:r>
      <w:r w:rsidR="00D02904" w:rsidRPr="007D54B1">
        <w:t xml:space="preserve">, </w:t>
      </w:r>
    </w:p>
    <w:p w14:paraId="3D6A24B0" w14:textId="77777777" w:rsidR="00D902E9" w:rsidRDefault="00F836BB" w:rsidP="00D902E9">
      <w:r>
        <w:t>Ci-après dénommée « l’établissement DSI »</w:t>
      </w:r>
    </w:p>
    <w:p w14:paraId="2C0E4F80" w14:textId="77777777" w:rsidR="00D02904" w:rsidRPr="007D54B1" w:rsidRDefault="00D02904" w:rsidP="00D902E9">
      <w:r w:rsidRPr="007D54B1">
        <w:t>D’une part,</w:t>
      </w:r>
    </w:p>
    <w:p w14:paraId="3C0CB9FE" w14:textId="77777777" w:rsidR="00D02904" w:rsidRPr="007D54B1" w:rsidRDefault="00D02904" w:rsidP="00D902E9"/>
    <w:p w14:paraId="4F480C9B" w14:textId="77777777" w:rsidR="00D02904" w:rsidRPr="007D54B1" w:rsidRDefault="00D02904" w:rsidP="00D902E9">
      <w:r w:rsidRPr="007D54B1">
        <w:t>Et,</w:t>
      </w:r>
    </w:p>
    <w:p w14:paraId="1A186D27" w14:textId="33C35211" w:rsidR="007463D6" w:rsidRPr="007D54B1" w:rsidRDefault="007463D6" w:rsidP="00A618AC">
      <w:r w:rsidRPr="007D54B1">
        <w:t>Les Organisations Syndicales R</w:t>
      </w:r>
      <w:r w:rsidR="00D02904" w:rsidRPr="007D54B1">
        <w:t xml:space="preserve">eprésentatives des salariés </w:t>
      </w:r>
      <w:r w:rsidR="002428E9">
        <w:t xml:space="preserve">au sein de l’établissement </w:t>
      </w:r>
      <w:r w:rsidR="000571E3">
        <w:t>Direction des Systèmes d’Information</w:t>
      </w:r>
      <w:r w:rsidR="000571E3" w:rsidRPr="007D54B1">
        <w:t xml:space="preserve"> </w:t>
      </w:r>
      <w:r w:rsidRPr="007D54B1">
        <w:t xml:space="preserve">de la société Distribution Casino France </w:t>
      </w:r>
      <w:r w:rsidR="00D02904" w:rsidRPr="007D54B1">
        <w:t>représentées par :</w:t>
      </w:r>
    </w:p>
    <w:p w14:paraId="362038A7" w14:textId="3989A408" w:rsidR="007463D6" w:rsidRPr="007D54B1" w:rsidRDefault="007463D6" w:rsidP="00D902E9">
      <w:pPr>
        <w:pStyle w:val="Paragraphedeliste"/>
        <w:numPr>
          <w:ilvl w:val="0"/>
          <w:numId w:val="9"/>
        </w:numPr>
      </w:pPr>
      <w:r w:rsidRPr="007D54B1">
        <w:t xml:space="preserve">Syndicat CFE-CGC, </w:t>
      </w:r>
      <w:r w:rsidR="00A618AC">
        <w:t>M</w:t>
      </w:r>
      <w:r w:rsidR="00513BF1">
        <w:t>. --------------------------</w:t>
      </w:r>
      <w:r w:rsidR="00A618AC">
        <w:t>, en qualité de Délégué</w:t>
      </w:r>
      <w:r w:rsidRPr="007D54B1">
        <w:t xml:space="preserve"> Syndical d’Etablissement,</w:t>
      </w:r>
    </w:p>
    <w:p w14:paraId="0D2A1D16" w14:textId="53F7D210" w:rsidR="007463D6" w:rsidRPr="007D54B1" w:rsidRDefault="00A618AC" w:rsidP="00D902E9">
      <w:pPr>
        <w:pStyle w:val="Paragraphedeliste"/>
        <w:numPr>
          <w:ilvl w:val="0"/>
          <w:numId w:val="9"/>
        </w:numPr>
      </w:pPr>
      <w:r w:rsidRPr="007D54B1">
        <w:t xml:space="preserve">Syndicat </w:t>
      </w:r>
      <w:r>
        <w:t>CGT</w:t>
      </w:r>
      <w:r w:rsidR="007463D6" w:rsidRPr="007D54B1">
        <w:t>, M</w:t>
      </w:r>
      <w:r w:rsidR="00513BF1">
        <w:t>. -----------------------------,</w:t>
      </w:r>
      <w:r w:rsidR="007463D6" w:rsidRPr="007D54B1">
        <w:t xml:space="preserve"> en qualité de Délégué Syndical d’Etablissement,</w:t>
      </w:r>
    </w:p>
    <w:p w14:paraId="23AA943C" w14:textId="77777777" w:rsidR="007463D6" w:rsidRPr="007D54B1" w:rsidRDefault="007463D6" w:rsidP="00A618AC">
      <w:pPr>
        <w:pStyle w:val="Paragraphedeliste"/>
      </w:pPr>
    </w:p>
    <w:p w14:paraId="620580F6" w14:textId="77777777" w:rsidR="00D02904" w:rsidRPr="007D54B1" w:rsidRDefault="00D02904" w:rsidP="00D902E9">
      <w:r w:rsidRPr="007D54B1">
        <w:t>D’autre part,</w:t>
      </w:r>
    </w:p>
    <w:p w14:paraId="08313BEE" w14:textId="77777777" w:rsidR="00D02904" w:rsidRDefault="00D02904" w:rsidP="00D902E9">
      <w:r w:rsidRPr="007D54B1">
        <w:t>Il a été convenu ce qui suit :</w:t>
      </w:r>
    </w:p>
    <w:p w14:paraId="63D4D5C7" w14:textId="77777777" w:rsidR="001409A7" w:rsidRDefault="001409A7" w:rsidP="00D902E9">
      <w:pPr>
        <w:pStyle w:val="Sansinterligne"/>
      </w:pPr>
    </w:p>
    <w:p w14:paraId="771A1599" w14:textId="77777777" w:rsidR="00A618AC" w:rsidRDefault="00A618AC" w:rsidP="00D902E9">
      <w:pPr>
        <w:pStyle w:val="Sansinterligne"/>
      </w:pPr>
    </w:p>
    <w:p w14:paraId="3EBB7469" w14:textId="77777777" w:rsidR="00A618AC" w:rsidRDefault="00A618AC" w:rsidP="00D902E9">
      <w:pPr>
        <w:pStyle w:val="Sansinterligne"/>
      </w:pPr>
    </w:p>
    <w:p w14:paraId="386DB44A" w14:textId="77777777" w:rsidR="00A618AC" w:rsidRDefault="00A618AC" w:rsidP="00D902E9">
      <w:pPr>
        <w:pStyle w:val="Sansinterligne"/>
      </w:pPr>
    </w:p>
    <w:p w14:paraId="63AA540C" w14:textId="77777777" w:rsidR="00A618AC" w:rsidRDefault="00A618AC" w:rsidP="00D902E9">
      <w:pPr>
        <w:pStyle w:val="Sansinterligne"/>
      </w:pPr>
    </w:p>
    <w:p w14:paraId="1867300C" w14:textId="77777777" w:rsidR="00A618AC" w:rsidRDefault="00A618AC" w:rsidP="00D902E9">
      <w:pPr>
        <w:pStyle w:val="Sansinterligne"/>
      </w:pPr>
    </w:p>
    <w:p w14:paraId="49AAEE1D" w14:textId="77777777" w:rsidR="00A618AC" w:rsidRDefault="00A618AC" w:rsidP="00D902E9">
      <w:pPr>
        <w:pStyle w:val="Sansinterligne"/>
      </w:pPr>
    </w:p>
    <w:p w14:paraId="6730375B" w14:textId="77777777" w:rsidR="00B4239D" w:rsidRDefault="00B4239D" w:rsidP="00D902E9">
      <w:pPr>
        <w:pStyle w:val="Sansinterligne"/>
      </w:pPr>
    </w:p>
    <w:p w14:paraId="1672566A" w14:textId="77777777" w:rsidR="00A618AC" w:rsidRDefault="00A618AC" w:rsidP="00D902E9">
      <w:pPr>
        <w:pStyle w:val="Sansinterligne"/>
      </w:pPr>
    </w:p>
    <w:p w14:paraId="3B69E61E" w14:textId="77777777" w:rsidR="00A618AC" w:rsidRDefault="00A618AC" w:rsidP="00D902E9">
      <w:pPr>
        <w:pStyle w:val="Sansinterligne"/>
      </w:pPr>
    </w:p>
    <w:p w14:paraId="68ADDCEB" w14:textId="77777777" w:rsidR="00A618AC" w:rsidRDefault="00A618AC" w:rsidP="00D902E9">
      <w:pPr>
        <w:pStyle w:val="Sansinterligne"/>
      </w:pPr>
    </w:p>
    <w:p w14:paraId="71012345" w14:textId="77777777" w:rsidR="00A618AC" w:rsidRDefault="00A618AC" w:rsidP="00D902E9">
      <w:pPr>
        <w:pStyle w:val="Sansinterligne"/>
      </w:pPr>
    </w:p>
    <w:p w14:paraId="53B31097" w14:textId="77777777" w:rsidR="00A618AC" w:rsidRDefault="00A618AC" w:rsidP="00D902E9">
      <w:pPr>
        <w:pStyle w:val="Sansinterligne"/>
      </w:pPr>
    </w:p>
    <w:p w14:paraId="58B9FFBC" w14:textId="77777777" w:rsidR="00737C82" w:rsidRDefault="00737C82" w:rsidP="00D902E9">
      <w:pPr>
        <w:pStyle w:val="Sansinterligne"/>
      </w:pPr>
    </w:p>
    <w:bookmarkStart w:id="1" w:name="_Toc532886369" w:displacedByCustomXml="next"/>
    <w:sdt>
      <w:sdtPr>
        <w:rPr>
          <w:smallCaps w:val="0"/>
          <w:spacing w:val="0"/>
          <w:sz w:val="22"/>
          <w:szCs w:val="22"/>
          <w:lang w:val="fr-FR" w:eastAsia="en-US" w:bidi="ar-SA"/>
        </w:rPr>
        <w:id w:val="-1730530165"/>
        <w:docPartObj>
          <w:docPartGallery w:val="Table of Contents"/>
          <w:docPartUnique/>
        </w:docPartObj>
      </w:sdtPr>
      <w:sdtEndPr/>
      <w:sdtContent>
        <w:p w14:paraId="17905AE2" w14:textId="77777777" w:rsidR="00373181" w:rsidRPr="00373181" w:rsidRDefault="00373181" w:rsidP="00D902E9">
          <w:pPr>
            <w:pStyle w:val="En-ttedetabledesmatires"/>
            <w:rPr>
              <w:rStyle w:val="Titre2Car"/>
            </w:rPr>
          </w:pPr>
          <w:r w:rsidRPr="00373181">
            <w:rPr>
              <w:rStyle w:val="Titre2Car"/>
            </w:rPr>
            <w:t>Table des matières</w:t>
          </w:r>
        </w:p>
        <w:p w14:paraId="17FB4467" w14:textId="77777777" w:rsidR="002B067E" w:rsidRDefault="00373181">
          <w:pPr>
            <w:pStyle w:val="TM2"/>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532888188" w:history="1">
            <w:r w:rsidR="002B067E" w:rsidRPr="00294DA5">
              <w:rPr>
                <w:rStyle w:val="Lienhypertexte"/>
                <w:noProof/>
              </w:rPr>
              <w:t>Préambule</w:t>
            </w:r>
            <w:r w:rsidR="002B067E">
              <w:rPr>
                <w:noProof/>
                <w:webHidden/>
              </w:rPr>
              <w:tab/>
            </w:r>
            <w:r w:rsidR="002B067E">
              <w:rPr>
                <w:noProof/>
                <w:webHidden/>
              </w:rPr>
              <w:fldChar w:fldCharType="begin"/>
            </w:r>
            <w:r w:rsidR="002B067E">
              <w:rPr>
                <w:noProof/>
                <w:webHidden/>
              </w:rPr>
              <w:instrText xml:space="preserve"> PAGEREF _Toc532888188 \h </w:instrText>
            </w:r>
            <w:r w:rsidR="002B067E">
              <w:rPr>
                <w:noProof/>
                <w:webHidden/>
              </w:rPr>
            </w:r>
            <w:r w:rsidR="002B067E">
              <w:rPr>
                <w:noProof/>
                <w:webHidden/>
              </w:rPr>
              <w:fldChar w:fldCharType="separate"/>
            </w:r>
            <w:r w:rsidR="005A4D49">
              <w:rPr>
                <w:noProof/>
                <w:webHidden/>
              </w:rPr>
              <w:t>3</w:t>
            </w:r>
            <w:r w:rsidR="002B067E">
              <w:rPr>
                <w:noProof/>
                <w:webHidden/>
              </w:rPr>
              <w:fldChar w:fldCharType="end"/>
            </w:r>
          </w:hyperlink>
        </w:p>
        <w:p w14:paraId="1D7BF504" w14:textId="3FC88E74" w:rsidR="002B067E" w:rsidRDefault="00CD7707">
          <w:pPr>
            <w:pStyle w:val="TM2"/>
            <w:rPr>
              <w:rFonts w:eastAsiaTheme="minorEastAsia"/>
              <w:noProof/>
              <w:lang w:eastAsia="fr-FR"/>
            </w:rPr>
          </w:pPr>
          <w:hyperlink w:anchor="_Toc532888189" w:history="1">
            <w:r w:rsidR="002B067E" w:rsidRPr="00294DA5">
              <w:rPr>
                <w:rStyle w:val="Lienhypertexte"/>
                <w:noProof/>
              </w:rPr>
              <w:t>Article 1 - Définition du télétravail régulier</w:t>
            </w:r>
            <w:r w:rsidR="002B067E">
              <w:rPr>
                <w:noProof/>
                <w:webHidden/>
              </w:rPr>
              <w:tab/>
            </w:r>
            <w:r w:rsidR="002B067E">
              <w:rPr>
                <w:noProof/>
                <w:webHidden/>
              </w:rPr>
              <w:fldChar w:fldCharType="begin"/>
            </w:r>
            <w:r w:rsidR="002B067E">
              <w:rPr>
                <w:noProof/>
                <w:webHidden/>
              </w:rPr>
              <w:instrText xml:space="preserve"> PAGEREF _Toc532888189 \h </w:instrText>
            </w:r>
            <w:r w:rsidR="002B067E">
              <w:rPr>
                <w:noProof/>
                <w:webHidden/>
              </w:rPr>
            </w:r>
            <w:r w:rsidR="002B067E">
              <w:rPr>
                <w:noProof/>
                <w:webHidden/>
              </w:rPr>
              <w:fldChar w:fldCharType="separate"/>
            </w:r>
            <w:r w:rsidR="005A4D49">
              <w:rPr>
                <w:noProof/>
                <w:webHidden/>
              </w:rPr>
              <w:t>4</w:t>
            </w:r>
            <w:r w:rsidR="002B067E">
              <w:rPr>
                <w:noProof/>
                <w:webHidden/>
              </w:rPr>
              <w:fldChar w:fldCharType="end"/>
            </w:r>
          </w:hyperlink>
        </w:p>
        <w:p w14:paraId="37736CE0" w14:textId="0C0DBD4E" w:rsidR="002B067E" w:rsidRDefault="00CD7707">
          <w:pPr>
            <w:pStyle w:val="TM2"/>
            <w:rPr>
              <w:rFonts w:eastAsiaTheme="minorEastAsia"/>
              <w:noProof/>
              <w:lang w:eastAsia="fr-FR"/>
            </w:rPr>
          </w:pPr>
          <w:hyperlink w:anchor="_Toc532888190" w:history="1">
            <w:r w:rsidR="002B067E" w:rsidRPr="00294DA5">
              <w:rPr>
                <w:rStyle w:val="Lienhypertexte"/>
                <w:noProof/>
              </w:rPr>
              <w:t>Article 2 - Conditions d’éligibilité au télétravail régulier</w:t>
            </w:r>
            <w:r w:rsidR="002B067E">
              <w:rPr>
                <w:noProof/>
                <w:webHidden/>
              </w:rPr>
              <w:tab/>
            </w:r>
            <w:r w:rsidR="002B067E">
              <w:rPr>
                <w:noProof/>
                <w:webHidden/>
              </w:rPr>
              <w:fldChar w:fldCharType="begin"/>
            </w:r>
            <w:r w:rsidR="002B067E">
              <w:rPr>
                <w:noProof/>
                <w:webHidden/>
              </w:rPr>
              <w:instrText xml:space="preserve"> PAGEREF _Toc532888190 \h </w:instrText>
            </w:r>
            <w:r w:rsidR="002B067E">
              <w:rPr>
                <w:noProof/>
                <w:webHidden/>
              </w:rPr>
            </w:r>
            <w:r w:rsidR="002B067E">
              <w:rPr>
                <w:noProof/>
                <w:webHidden/>
              </w:rPr>
              <w:fldChar w:fldCharType="separate"/>
            </w:r>
            <w:r w:rsidR="005A4D49">
              <w:rPr>
                <w:noProof/>
                <w:webHidden/>
              </w:rPr>
              <w:t>4</w:t>
            </w:r>
            <w:r w:rsidR="002B067E">
              <w:rPr>
                <w:noProof/>
                <w:webHidden/>
              </w:rPr>
              <w:fldChar w:fldCharType="end"/>
            </w:r>
          </w:hyperlink>
        </w:p>
        <w:p w14:paraId="62249FB8" w14:textId="0623FF8E" w:rsidR="002B067E" w:rsidRDefault="00CD7707">
          <w:pPr>
            <w:pStyle w:val="TM3"/>
            <w:tabs>
              <w:tab w:val="right" w:leader="dot" w:pos="9062"/>
            </w:tabs>
            <w:rPr>
              <w:noProof/>
              <w:lang w:eastAsia="fr-FR"/>
            </w:rPr>
          </w:pPr>
          <w:hyperlink w:anchor="_Toc532888191" w:history="1">
            <w:r w:rsidR="002B067E" w:rsidRPr="00294DA5">
              <w:rPr>
                <w:rStyle w:val="Lienhypertexte"/>
                <w:noProof/>
              </w:rPr>
              <w:t>2.1 Conditions générales d’éligibilité au télétravail régulier</w:t>
            </w:r>
            <w:r w:rsidR="002B067E">
              <w:rPr>
                <w:noProof/>
                <w:webHidden/>
              </w:rPr>
              <w:tab/>
            </w:r>
            <w:r w:rsidR="002B067E">
              <w:rPr>
                <w:noProof/>
                <w:webHidden/>
              </w:rPr>
              <w:fldChar w:fldCharType="begin"/>
            </w:r>
            <w:r w:rsidR="002B067E">
              <w:rPr>
                <w:noProof/>
                <w:webHidden/>
              </w:rPr>
              <w:instrText xml:space="preserve"> PAGEREF _Toc532888191 \h </w:instrText>
            </w:r>
            <w:r w:rsidR="002B067E">
              <w:rPr>
                <w:noProof/>
                <w:webHidden/>
              </w:rPr>
            </w:r>
            <w:r w:rsidR="002B067E">
              <w:rPr>
                <w:noProof/>
                <w:webHidden/>
              </w:rPr>
              <w:fldChar w:fldCharType="separate"/>
            </w:r>
            <w:r w:rsidR="005A4D49">
              <w:rPr>
                <w:noProof/>
                <w:webHidden/>
              </w:rPr>
              <w:t>4</w:t>
            </w:r>
            <w:r w:rsidR="002B067E">
              <w:rPr>
                <w:noProof/>
                <w:webHidden/>
              </w:rPr>
              <w:fldChar w:fldCharType="end"/>
            </w:r>
          </w:hyperlink>
        </w:p>
        <w:p w14:paraId="32104796" w14:textId="2E0F9020" w:rsidR="002B067E" w:rsidRDefault="00CD7707">
          <w:pPr>
            <w:pStyle w:val="TM3"/>
            <w:tabs>
              <w:tab w:val="right" w:leader="dot" w:pos="9062"/>
            </w:tabs>
            <w:rPr>
              <w:noProof/>
              <w:lang w:eastAsia="fr-FR"/>
            </w:rPr>
          </w:pPr>
          <w:hyperlink w:anchor="_Toc532888192" w:history="1">
            <w:r w:rsidR="002B067E" w:rsidRPr="00294DA5">
              <w:rPr>
                <w:rStyle w:val="Lienhypertexte"/>
                <w:noProof/>
              </w:rPr>
              <w:t>2.2 Conditions d’éligibilité de la fonction ou du service exercé au télétravail</w:t>
            </w:r>
            <w:r w:rsidR="002B067E">
              <w:rPr>
                <w:noProof/>
                <w:webHidden/>
              </w:rPr>
              <w:tab/>
            </w:r>
            <w:r w:rsidR="002B067E">
              <w:rPr>
                <w:noProof/>
                <w:webHidden/>
              </w:rPr>
              <w:fldChar w:fldCharType="begin"/>
            </w:r>
            <w:r w:rsidR="002B067E">
              <w:rPr>
                <w:noProof/>
                <w:webHidden/>
              </w:rPr>
              <w:instrText xml:space="preserve"> PAGEREF _Toc532888192 \h </w:instrText>
            </w:r>
            <w:r w:rsidR="002B067E">
              <w:rPr>
                <w:noProof/>
                <w:webHidden/>
              </w:rPr>
            </w:r>
            <w:r w:rsidR="002B067E">
              <w:rPr>
                <w:noProof/>
                <w:webHidden/>
              </w:rPr>
              <w:fldChar w:fldCharType="separate"/>
            </w:r>
            <w:r w:rsidR="005A4D49">
              <w:rPr>
                <w:noProof/>
                <w:webHidden/>
              </w:rPr>
              <w:t>5</w:t>
            </w:r>
            <w:r w:rsidR="002B067E">
              <w:rPr>
                <w:noProof/>
                <w:webHidden/>
              </w:rPr>
              <w:fldChar w:fldCharType="end"/>
            </w:r>
          </w:hyperlink>
        </w:p>
        <w:p w14:paraId="359714FE" w14:textId="2618F58A" w:rsidR="002B067E" w:rsidRDefault="00CD7707">
          <w:pPr>
            <w:pStyle w:val="TM3"/>
            <w:tabs>
              <w:tab w:val="right" w:leader="dot" w:pos="9062"/>
            </w:tabs>
            <w:rPr>
              <w:noProof/>
              <w:lang w:eastAsia="fr-FR"/>
            </w:rPr>
          </w:pPr>
          <w:hyperlink w:anchor="_Toc532888193" w:history="1">
            <w:r w:rsidR="002B067E" w:rsidRPr="00294DA5">
              <w:rPr>
                <w:rStyle w:val="Lienhypertexte"/>
                <w:noProof/>
              </w:rPr>
              <w:t>2.3 Conditions d’éligibilité du collaborateur au télétravail</w:t>
            </w:r>
            <w:r w:rsidR="002B067E">
              <w:rPr>
                <w:noProof/>
                <w:webHidden/>
              </w:rPr>
              <w:tab/>
            </w:r>
            <w:r w:rsidR="002B067E">
              <w:rPr>
                <w:noProof/>
                <w:webHidden/>
              </w:rPr>
              <w:fldChar w:fldCharType="begin"/>
            </w:r>
            <w:r w:rsidR="002B067E">
              <w:rPr>
                <w:noProof/>
                <w:webHidden/>
              </w:rPr>
              <w:instrText xml:space="preserve"> PAGEREF _Toc532888193 \h </w:instrText>
            </w:r>
            <w:r w:rsidR="002B067E">
              <w:rPr>
                <w:noProof/>
                <w:webHidden/>
              </w:rPr>
            </w:r>
            <w:r w:rsidR="002B067E">
              <w:rPr>
                <w:noProof/>
                <w:webHidden/>
              </w:rPr>
              <w:fldChar w:fldCharType="separate"/>
            </w:r>
            <w:r w:rsidR="005A4D49">
              <w:rPr>
                <w:noProof/>
                <w:webHidden/>
              </w:rPr>
              <w:t>5</w:t>
            </w:r>
            <w:r w:rsidR="002B067E">
              <w:rPr>
                <w:noProof/>
                <w:webHidden/>
              </w:rPr>
              <w:fldChar w:fldCharType="end"/>
            </w:r>
          </w:hyperlink>
        </w:p>
        <w:p w14:paraId="000D2367" w14:textId="269087C6" w:rsidR="002B067E" w:rsidRDefault="00CD7707">
          <w:pPr>
            <w:pStyle w:val="TM2"/>
            <w:rPr>
              <w:rFonts w:eastAsiaTheme="minorEastAsia"/>
              <w:noProof/>
              <w:lang w:eastAsia="fr-FR"/>
            </w:rPr>
          </w:pPr>
          <w:hyperlink w:anchor="_Toc532888194" w:history="1">
            <w:r w:rsidR="002B067E" w:rsidRPr="00294DA5">
              <w:rPr>
                <w:rStyle w:val="Lienhypertexte"/>
                <w:noProof/>
              </w:rPr>
              <w:t>Article 3 - Conditions de mise en œuvre</w:t>
            </w:r>
            <w:r w:rsidR="002B067E">
              <w:rPr>
                <w:noProof/>
                <w:webHidden/>
              </w:rPr>
              <w:tab/>
            </w:r>
            <w:r w:rsidR="002B067E">
              <w:rPr>
                <w:noProof/>
                <w:webHidden/>
              </w:rPr>
              <w:fldChar w:fldCharType="begin"/>
            </w:r>
            <w:r w:rsidR="002B067E">
              <w:rPr>
                <w:noProof/>
                <w:webHidden/>
              </w:rPr>
              <w:instrText xml:space="preserve"> PAGEREF _Toc532888194 \h </w:instrText>
            </w:r>
            <w:r w:rsidR="002B067E">
              <w:rPr>
                <w:noProof/>
                <w:webHidden/>
              </w:rPr>
            </w:r>
            <w:r w:rsidR="002B067E">
              <w:rPr>
                <w:noProof/>
                <w:webHidden/>
              </w:rPr>
              <w:fldChar w:fldCharType="separate"/>
            </w:r>
            <w:r w:rsidR="005A4D49">
              <w:rPr>
                <w:noProof/>
                <w:webHidden/>
              </w:rPr>
              <w:t>6</w:t>
            </w:r>
            <w:r w:rsidR="002B067E">
              <w:rPr>
                <w:noProof/>
                <w:webHidden/>
              </w:rPr>
              <w:fldChar w:fldCharType="end"/>
            </w:r>
          </w:hyperlink>
        </w:p>
        <w:p w14:paraId="1313D2B4" w14:textId="11B58C34" w:rsidR="002B067E" w:rsidRDefault="00CD7707">
          <w:pPr>
            <w:pStyle w:val="TM3"/>
            <w:tabs>
              <w:tab w:val="right" w:leader="dot" w:pos="9062"/>
            </w:tabs>
            <w:rPr>
              <w:noProof/>
              <w:lang w:eastAsia="fr-FR"/>
            </w:rPr>
          </w:pPr>
          <w:hyperlink w:anchor="_Toc532888195" w:history="1">
            <w:r w:rsidR="002B067E" w:rsidRPr="00294DA5">
              <w:rPr>
                <w:rStyle w:val="Lienhypertexte"/>
                <w:noProof/>
              </w:rPr>
              <w:t>3.1 Les modalités de validation de la candidature</w:t>
            </w:r>
            <w:r w:rsidR="002B067E">
              <w:rPr>
                <w:noProof/>
                <w:webHidden/>
              </w:rPr>
              <w:tab/>
            </w:r>
            <w:r w:rsidR="002B067E">
              <w:rPr>
                <w:noProof/>
                <w:webHidden/>
              </w:rPr>
              <w:fldChar w:fldCharType="begin"/>
            </w:r>
            <w:r w:rsidR="002B067E">
              <w:rPr>
                <w:noProof/>
                <w:webHidden/>
              </w:rPr>
              <w:instrText xml:space="preserve"> PAGEREF _Toc532888195 \h </w:instrText>
            </w:r>
            <w:r w:rsidR="002B067E">
              <w:rPr>
                <w:noProof/>
                <w:webHidden/>
              </w:rPr>
            </w:r>
            <w:r w:rsidR="002B067E">
              <w:rPr>
                <w:noProof/>
                <w:webHidden/>
              </w:rPr>
              <w:fldChar w:fldCharType="separate"/>
            </w:r>
            <w:r w:rsidR="005A4D49">
              <w:rPr>
                <w:noProof/>
                <w:webHidden/>
              </w:rPr>
              <w:t>6</w:t>
            </w:r>
            <w:r w:rsidR="002B067E">
              <w:rPr>
                <w:noProof/>
                <w:webHidden/>
              </w:rPr>
              <w:fldChar w:fldCharType="end"/>
            </w:r>
          </w:hyperlink>
        </w:p>
        <w:p w14:paraId="7A870447" w14:textId="7CD04F20" w:rsidR="002B067E" w:rsidRDefault="00CD7707">
          <w:pPr>
            <w:pStyle w:val="TM3"/>
            <w:tabs>
              <w:tab w:val="right" w:leader="dot" w:pos="9062"/>
            </w:tabs>
            <w:rPr>
              <w:noProof/>
              <w:lang w:eastAsia="fr-FR"/>
            </w:rPr>
          </w:pPr>
          <w:hyperlink w:anchor="_Toc532888196" w:history="1">
            <w:r w:rsidR="002B067E" w:rsidRPr="00294DA5">
              <w:rPr>
                <w:rStyle w:val="Lienhypertexte"/>
                <w:noProof/>
              </w:rPr>
              <w:t>3.2 Avenant au contrat de travail</w:t>
            </w:r>
            <w:r w:rsidR="002B067E">
              <w:rPr>
                <w:noProof/>
                <w:webHidden/>
              </w:rPr>
              <w:tab/>
            </w:r>
            <w:r w:rsidR="002B067E">
              <w:rPr>
                <w:noProof/>
                <w:webHidden/>
              </w:rPr>
              <w:fldChar w:fldCharType="begin"/>
            </w:r>
            <w:r w:rsidR="002B067E">
              <w:rPr>
                <w:noProof/>
                <w:webHidden/>
              </w:rPr>
              <w:instrText xml:space="preserve"> PAGEREF _Toc532888196 \h </w:instrText>
            </w:r>
            <w:r w:rsidR="002B067E">
              <w:rPr>
                <w:noProof/>
                <w:webHidden/>
              </w:rPr>
            </w:r>
            <w:r w:rsidR="002B067E">
              <w:rPr>
                <w:noProof/>
                <w:webHidden/>
              </w:rPr>
              <w:fldChar w:fldCharType="separate"/>
            </w:r>
            <w:r w:rsidR="005A4D49">
              <w:rPr>
                <w:noProof/>
                <w:webHidden/>
              </w:rPr>
              <w:t>6</w:t>
            </w:r>
            <w:r w:rsidR="002B067E">
              <w:rPr>
                <w:noProof/>
                <w:webHidden/>
              </w:rPr>
              <w:fldChar w:fldCharType="end"/>
            </w:r>
          </w:hyperlink>
        </w:p>
        <w:p w14:paraId="28BC0AD4" w14:textId="5E786D38" w:rsidR="002B067E" w:rsidRDefault="00CD7707">
          <w:pPr>
            <w:pStyle w:val="TM3"/>
            <w:tabs>
              <w:tab w:val="right" w:leader="dot" w:pos="9062"/>
            </w:tabs>
            <w:rPr>
              <w:noProof/>
              <w:lang w:eastAsia="fr-FR"/>
            </w:rPr>
          </w:pPr>
          <w:hyperlink w:anchor="_Toc532888197" w:history="1">
            <w:r w:rsidR="002B067E" w:rsidRPr="00294DA5">
              <w:rPr>
                <w:rStyle w:val="Lienhypertexte"/>
                <w:noProof/>
              </w:rPr>
              <w:t>3.3 Période d’adaptation au télétravail</w:t>
            </w:r>
            <w:r w:rsidR="002B067E">
              <w:rPr>
                <w:noProof/>
                <w:webHidden/>
              </w:rPr>
              <w:tab/>
            </w:r>
            <w:r w:rsidR="002B067E">
              <w:rPr>
                <w:noProof/>
                <w:webHidden/>
              </w:rPr>
              <w:fldChar w:fldCharType="begin"/>
            </w:r>
            <w:r w:rsidR="002B067E">
              <w:rPr>
                <w:noProof/>
                <w:webHidden/>
              </w:rPr>
              <w:instrText xml:space="preserve"> PAGEREF _Toc532888197 \h </w:instrText>
            </w:r>
            <w:r w:rsidR="002B067E">
              <w:rPr>
                <w:noProof/>
                <w:webHidden/>
              </w:rPr>
            </w:r>
            <w:r w:rsidR="002B067E">
              <w:rPr>
                <w:noProof/>
                <w:webHidden/>
              </w:rPr>
              <w:fldChar w:fldCharType="separate"/>
            </w:r>
            <w:r w:rsidR="005A4D49">
              <w:rPr>
                <w:noProof/>
                <w:webHidden/>
              </w:rPr>
              <w:t>7</w:t>
            </w:r>
            <w:r w:rsidR="002B067E">
              <w:rPr>
                <w:noProof/>
                <w:webHidden/>
              </w:rPr>
              <w:fldChar w:fldCharType="end"/>
            </w:r>
          </w:hyperlink>
        </w:p>
        <w:p w14:paraId="50F8322B" w14:textId="4D02DB14" w:rsidR="002B067E" w:rsidRDefault="00CD7707">
          <w:pPr>
            <w:pStyle w:val="TM3"/>
            <w:tabs>
              <w:tab w:val="right" w:leader="dot" w:pos="9062"/>
            </w:tabs>
            <w:rPr>
              <w:noProof/>
              <w:lang w:eastAsia="fr-FR"/>
            </w:rPr>
          </w:pPr>
          <w:hyperlink w:anchor="_Toc532888198" w:history="1">
            <w:r w:rsidR="002B067E" w:rsidRPr="00294DA5">
              <w:rPr>
                <w:rStyle w:val="Lienhypertexte"/>
                <w:noProof/>
              </w:rPr>
              <w:t>3.4 Organisation du télétravail</w:t>
            </w:r>
            <w:r w:rsidR="002B067E">
              <w:rPr>
                <w:noProof/>
                <w:webHidden/>
              </w:rPr>
              <w:tab/>
            </w:r>
            <w:r w:rsidR="002B067E">
              <w:rPr>
                <w:noProof/>
                <w:webHidden/>
              </w:rPr>
              <w:fldChar w:fldCharType="begin"/>
            </w:r>
            <w:r w:rsidR="002B067E">
              <w:rPr>
                <w:noProof/>
                <w:webHidden/>
              </w:rPr>
              <w:instrText xml:space="preserve"> PAGEREF _Toc532888198 \h </w:instrText>
            </w:r>
            <w:r w:rsidR="002B067E">
              <w:rPr>
                <w:noProof/>
                <w:webHidden/>
              </w:rPr>
            </w:r>
            <w:r w:rsidR="002B067E">
              <w:rPr>
                <w:noProof/>
                <w:webHidden/>
              </w:rPr>
              <w:fldChar w:fldCharType="separate"/>
            </w:r>
            <w:r w:rsidR="005A4D49">
              <w:rPr>
                <w:noProof/>
                <w:webHidden/>
              </w:rPr>
              <w:t>7</w:t>
            </w:r>
            <w:r w:rsidR="002B067E">
              <w:rPr>
                <w:noProof/>
                <w:webHidden/>
              </w:rPr>
              <w:fldChar w:fldCharType="end"/>
            </w:r>
          </w:hyperlink>
        </w:p>
        <w:p w14:paraId="5CA97C94" w14:textId="019B7106" w:rsidR="002B067E" w:rsidRDefault="00CD7707">
          <w:pPr>
            <w:pStyle w:val="TM3"/>
            <w:tabs>
              <w:tab w:val="right" w:leader="dot" w:pos="9062"/>
            </w:tabs>
            <w:rPr>
              <w:noProof/>
              <w:lang w:eastAsia="fr-FR"/>
            </w:rPr>
          </w:pPr>
          <w:hyperlink w:anchor="_Toc532888199" w:history="1">
            <w:r w:rsidR="002B067E" w:rsidRPr="00294DA5">
              <w:rPr>
                <w:rStyle w:val="Lienhypertexte"/>
                <w:noProof/>
              </w:rPr>
              <w:t>3.5 Principe de Réversibilité</w:t>
            </w:r>
            <w:r w:rsidR="002B067E">
              <w:rPr>
                <w:noProof/>
                <w:webHidden/>
              </w:rPr>
              <w:tab/>
            </w:r>
            <w:r w:rsidR="002B067E">
              <w:rPr>
                <w:noProof/>
                <w:webHidden/>
              </w:rPr>
              <w:fldChar w:fldCharType="begin"/>
            </w:r>
            <w:r w:rsidR="002B067E">
              <w:rPr>
                <w:noProof/>
                <w:webHidden/>
              </w:rPr>
              <w:instrText xml:space="preserve"> PAGEREF _Toc532888199 \h </w:instrText>
            </w:r>
            <w:r w:rsidR="002B067E">
              <w:rPr>
                <w:noProof/>
                <w:webHidden/>
              </w:rPr>
            </w:r>
            <w:r w:rsidR="002B067E">
              <w:rPr>
                <w:noProof/>
                <w:webHidden/>
              </w:rPr>
              <w:fldChar w:fldCharType="separate"/>
            </w:r>
            <w:r w:rsidR="005A4D49">
              <w:rPr>
                <w:noProof/>
                <w:webHidden/>
              </w:rPr>
              <w:t>8</w:t>
            </w:r>
            <w:r w:rsidR="002B067E">
              <w:rPr>
                <w:noProof/>
                <w:webHidden/>
              </w:rPr>
              <w:fldChar w:fldCharType="end"/>
            </w:r>
          </w:hyperlink>
        </w:p>
        <w:p w14:paraId="6D1D1540" w14:textId="434BB617" w:rsidR="002B067E" w:rsidRDefault="00CD7707">
          <w:pPr>
            <w:pStyle w:val="TM2"/>
            <w:rPr>
              <w:rFonts w:eastAsiaTheme="minorEastAsia"/>
              <w:noProof/>
              <w:lang w:eastAsia="fr-FR"/>
            </w:rPr>
          </w:pPr>
          <w:hyperlink w:anchor="_Toc532888200" w:history="1">
            <w:r w:rsidR="002B067E" w:rsidRPr="00294DA5">
              <w:rPr>
                <w:rStyle w:val="Lienhypertexte"/>
                <w:noProof/>
              </w:rPr>
              <w:t>Article 4 - Droits collectifs et individuels du télétravailleur</w:t>
            </w:r>
            <w:r w:rsidR="002B067E">
              <w:rPr>
                <w:noProof/>
                <w:webHidden/>
              </w:rPr>
              <w:tab/>
            </w:r>
            <w:r w:rsidR="002B067E">
              <w:rPr>
                <w:noProof/>
                <w:webHidden/>
              </w:rPr>
              <w:fldChar w:fldCharType="begin"/>
            </w:r>
            <w:r w:rsidR="002B067E">
              <w:rPr>
                <w:noProof/>
                <w:webHidden/>
              </w:rPr>
              <w:instrText xml:space="preserve"> PAGEREF _Toc532888200 \h </w:instrText>
            </w:r>
            <w:r w:rsidR="002B067E">
              <w:rPr>
                <w:noProof/>
                <w:webHidden/>
              </w:rPr>
            </w:r>
            <w:r w:rsidR="002B067E">
              <w:rPr>
                <w:noProof/>
                <w:webHidden/>
              </w:rPr>
              <w:fldChar w:fldCharType="separate"/>
            </w:r>
            <w:r w:rsidR="005A4D49">
              <w:rPr>
                <w:noProof/>
                <w:webHidden/>
              </w:rPr>
              <w:t>8</w:t>
            </w:r>
            <w:r w:rsidR="002B067E">
              <w:rPr>
                <w:noProof/>
                <w:webHidden/>
              </w:rPr>
              <w:fldChar w:fldCharType="end"/>
            </w:r>
          </w:hyperlink>
        </w:p>
        <w:p w14:paraId="0FC53023" w14:textId="4A957210" w:rsidR="002B067E" w:rsidRDefault="00CD7707">
          <w:pPr>
            <w:pStyle w:val="TM2"/>
            <w:rPr>
              <w:rFonts w:eastAsiaTheme="minorEastAsia"/>
              <w:noProof/>
              <w:lang w:eastAsia="fr-FR"/>
            </w:rPr>
          </w:pPr>
          <w:hyperlink w:anchor="_Toc532888201" w:history="1">
            <w:r w:rsidR="002B067E" w:rsidRPr="00294DA5">
              <w:rPr>
                <w:rStyle w:val="Lienhypertexte"/>
                <w:noProof/>
              </w:rPr>
              <w:t>Article 5 - Équipement mis à disposition du télétravailleur</w:t>
            </w:r>
            <w:r w:rsidR="002B067E">
              <w:rPr>
                <w:noProof/>
                <w:webHidden/>
              </w:rPr>
              <w:tab/>
            </w:r>
            <w:r w:rsidR="002B067E">
              <w:rPr>
                <w:noProof/>
                <w:webHidden/>
              </w:rPr>
              <w:fldChar w:fldCharType="begin"/>
            </w:r>
            <w:r w:rsidR="002B067E">
              <w:rPr>
                <w:noProof/>
                <w:webHidden/>
              </w:rPr>
              <w:instrText xml:space="preserve"> PAGEREF _Toc532888201 \h </w:instrText>
            </w:r>
            <w:r w:rsidR="002B067E">
              <w:rPr>
                <w:noProof/>
                <w:webHidden/>
              </w:rPr>
            </w:r>
            <w:r w:rsidR="002B067E">
              <w:rPr>
                <w:noProof/>
                <w:webHidden/>
              </w:rPr>
              <w:fldChar w:fldCharType="separate"/>
            </w:r>
            <w:r w:rsidR="005A4D49">
              <w:rPr>
                <w:noProof/>
                <w:webHidden/>
              </w:rPr>
              <w:t>8</w:t>
            </w:r>
            <w:r w:rsidR="002B067E">
              <w:rPr>
                <w:noProof/>
                <w:webHidden/>
              </w:rPr>
              <w:fldChar w:fldCharType="end"/>
            </w:r>
          </w:hyperlink>
        </w:p>
        <w:p w14:paraId="1AD47A2C" w14:textId="6245AFB8" w:rsidR="002B067E" w:rsidRDefault="00CD7707">
          <w:pPr>
            <w:pStyle w:val="TM2"/>
            <w:rPr>
              <w:rFonts w:eastAsiaTheme="minorEastAsia"/>
              <w:noProof/>
              <w:lang w:eastAsia="fr-FR"/>
            </w:rPr>
          </w:pPr>
          <w:hyperlink w:anchor="_Toc532888202" w:history="1">
            <w:r w:rsidR="002B067E" w:rsidRPr="00294DA5">
              <w:rPr>
                <w:rStyle w:val="Lienhypertexte"/>
                <w:noProof/>
              </w:rPr>
              <w:t>Article 6 - indemnisation de frais télétravail</w:t>
            </w:r>
            <w:r w:rsidR="002B067E">
              <w:rPr>
                <w:noProof/>
                <w:webHidden/>
              </w:rPr>
              <w:tab/>
            </w:r>
            <w:r w:rsidR="002B067E">
              <w:rPr>
                <w:noProof/>
                <w:webHidden/>
              </w:rPr>
              <w:fldChar w:fldCharType="begin"/>
            </w:r>
            <w:r w:rsidR="002B067E">
              <w:rPr>
                <w:noProof/>
                <w:webHidden/>
              </w:rPr>
              <w:instrText xml:space="preserve"> PAGEREF _Toc532888202 \h </w:instrText>
            </w:r>
            <w:r w:rsidR="002B067E">
              <w:rPr>
                <w:noProof/>
                <w:webHidden/>
              </w:rPr>
            </w:r>
            <w:r w:rsidR="002B067E">
              <w:rPr>
                <w:noProof/>
                <w:webHidden/>
              </w:rPr>
              <w:fldChar w:fldCharType="separate"/>
            </w:r>
            <w:r w:rsidR="005A4D49">
              <w:rPr>
                <w:noProof/>
                <w:webHidden/>
              </w:rPr>
              <w:t>9</w:t>
            </w:r>
            <w:r w:rsidR="002B067E">
              <w:rPr>
                <w:noProof/>
                <w:webHidden/>
              </w:rPr>
              <w:fldChar w:fldCharType="end"/>
            </w:r>
          </w:hyperlink>
        </w:p>
        <w:p w14:paraId="645F9A16" w14:textId="267312DE" w:rsidR="002B067E" w:rsidRDefault="00CD7707">
          <w:pPr>
            <w:pStyle w:val="TM2"/>
            <w:rPr>
              <w:rFonts w:eastAsiaTheme="minorEastAsia"/>
              <w:noProof/>
              <w:lang w:eastAsia="fr-FR"/>
            </w:rPr>
          </w:pPr>
          <w:hyperlink w:anchor="_Toc532888203" w:history="1">
            <w:r w:rsidR="002B067E" w:rsidRPr="00294DA5">
              <w:rPr>
                <w:rStyle w:val="Lienhypertexte"/>
                <w:noProof/>
              </w:rPr>
              <w:t>Article 7 - Sante et sécurité au travail</w:t>
            </w:r>
            <w:r w:rsidR="002B067E">
              <w:rPr>
                <w:noProof/>
                <w:webHidden/>
              </w:rPr>
              <w:tab/>
            </w:r>
            <w:r w:rsidR="002B067E">
              <w:rPr>
                <w:noProof/>
                <w:webHidden/>
              </w:rPr>
              <w:fldChar w:fldCharType="begin"/>
            </w:r>
            <w:r w:rsidR="002B067E">
              <w:rPr>
                <w:noProof/>
                <w:webHidden/>
              </w:rPr>
              <w:instrText xml:space="preserve"> PAGEREF _Toc532888203 \h </w:instrText>
            </w:r>
            <w:r w:rsidR="002B067E">
              <w:rPr>
                <w:noProof/>
                <w:webHidden/>
              </w:rPr>
            </w:r>
            <w:r w:rsidR="002B067E">
              <w:rPr>
                <w:noProof/>
                <w:webHidden/>
              </w:rPr>
              <w:fldChar w:fldCharType="separate"/>
            </w:r>
            <w:r w:rsidR="005A4D49">
              <w:rPr>
                <w:noProof/>
                <w:webHidden/>
              </w:rPr>
              <w:t>9</w:t>
            </w:r>
            <w:r w:rsidR="002B067E">
              <w:rPr>
                <w:noProof/>
                <w:webHidden/>
              </w:rPr>
              <w:fldChar w:fldCharType="end"/>
            </w:r>
          </w:hyperlink>
        </w:p>
        <w:p w14:paraId="42A72F5C" w14:textId="27A78D24" w:rsidR="002B067E" w:rsidRDefault="00CD7707">
          <w:pPr>
            <w:pStyle w:val="TM3"/>
            <w:tabs>
              <w:tab w:val="right" w:leader="dot" w:pos="9062"/>
            </w:tabs>
            <w:rPr>
              <w:noProof/>
              <w:lang w:eastAsia="fr-FR"/>
            </w:rPr>
          </w:pPr>
          <w:hyperlink w:anchor="_Toc532888204" w:history="1">
            <w:r w:rsidR="002B067E" w:rsidRPr="00294DA5">
              <w:rPr>
                <w:rStyle w:val="Lienhypertexte"/>
                <w:noProof/>
              </w:rPr>
              <w:t>7.1 Charge de travail</w:t>
            </w:r>
            <w:r w:rsidR="002B067E">
              <w:rPr>
                <w:noProof/>
                <w:webHidden/>
              </w:rPr>
              <w:tab/>
            </w:r>
            <w:r w:rsidR="002B067E">
              <w:rPr>
                <w:noProof/>
                <w:webHidden/>
              </w:rPr>
              <w:fldChar w:fldCharType="begin"/>
            </w:r>
            <w:r w:rsidR="002B067E">
              <w:rPr>
                <w:noProof/>
                <w:webHidden/>
              </w:rPr>
              <w:instrText xml:space="preserve"> PAGEREF _Toc532888204 \h </w:instrText>
            </w:r>
            <w:r w:rsidR="002B067E">
              <w:rPr>
                <w:noProof/>
                <w:webHidden/>
              </w:rPr>
            </w:r>
            <w:r w:rsidR="002B067E">
              <w:rPr>
                <w:noProof/>
                <w:webHidden/>
              </w:rPr>
              <w:fldChar w:fldCharType="separate"/>
            </w:r>
            <w:r w:rsidR="005A4D49">
              <w:rPr>
                <w:noProof/>
                <w:webHidden/>
              </w:rPr>
              <w:t>9</w:t>
            </w:r>
            <w:r w:rsidR="002B067E">
              <w:rPr>
                <w:noProof/>
                <w:webHidden/>
              </w:rPr>
              <w:fldChar w:fldCharType="end"/>
            </w:r>
          </w:hyperlink>
        </w:p>
        <w:p w14:paraId="22D0AF72" w14:textId="61DE6449" w:rsidR="002B067E" w:rsidRDefault="00CD7707">
          <w:pPr>
            <w:pStyle w:val="TM3"/>
            <w:tabs>
              <w:tab w:val="right" w:leader="dot" w:pos="9062"/>
            </w:tabs>
            <w:rPr>
              <w:noProof/>
              <w:lang w:eastAsia="fr-FR"/>
            </w:rPr>
          </w:pPr>
          <w:hyperlink w:anchor="_Toc532888205" w:history="1">
            <w:r w:rsidR="002B067E" w:rsidRPr="00294DA5">
              <w:rPr>
                <w:rStyle w:val="Lienhypertexte"/>
                <w:noProof/>
              </w:rPr>
              <w:t>7.2 L’assurance</w:t>
            </w:r>
            <w:r w:rsidR="002B067E">
              <w:rPr>
                <w:noProof/>
                <w:webHidden/>
              </w:rPr>
              <w:tab/>
            </w:r>
            <w:r w:rsidR="002B067E">
              <w:rPr>
                <w:noProof/>
                <w:webHidden/>
              </w:rPr>
              <w:fldChar w:fldCharType="begin"/>
            </w:r>
            <w:r w:rsidR="002B067E">
              <w:rPr>
                <w:noProof/>
                <w:webHidden/>
              </w:rPr>
              <w:instrText xml:space="preserve"> PAGEREF _Toc532888205 \h </w:instrText>
            </w:r>
            <w:r w:rsidR="002B067E">
              <w:rPr>
                <w:noProof/>
                <w:webHidden/>
              </w:rPr>
            </w:r>
            <w:r w:rsidR="002B067E">
              <w:rPr>
                <w:noProof/>
                <w:webHidden/>
              </w:rPr>
              <w:fldChar w:fldCharType="separate"/>
            </w:r>
            <w:r w:rsidR="005A4D49">
              <w:rPr>
                <w:noProof/>
                <w:webHidden/>
              </w:rPr>
              <w:t>9</w:t>
            </w:r>
            <w:r w:rsidR="002B067E">
              <w:rPr>
                <w:noProof/>
                <w:webHidden/>
              </w:rPr>
              <w:fldChar w:fldCharType="end"/>
            </w:r>
          </w:hyperlink>
        </w:p>
        <w:p w14:paraId="3AE765C8" w14:textId="2BBA25EE" w:rsidR="002B067E" w:rsidRDefault="00CD7707">
          <w:pPr>
            <w:pStyle w:val="TM3"/>
            <w:tabs>
              <w:tab w:val="right" w:leader="dot" w:pos="9062"/>
            </w:tabs>
            <w:rPr>
              <w:noProof/>
              <w:lang w:eastAsia="fr-FR"/>
            </w:rPr>
          </w:pPr>
          <w:hyperlink w:anchor="_Toc532888206" w:history="1">
            <w:r w:rsidR="002B067E" w:rsidRPr="00294DA5">
              <w:rPr>
                <w:rStyle w:val="Lienhypertexte"/>
                <w:noProof/>
              </w:rPr>
              <w:t>7.3 Le maintien du lien social</w:t>
            </w:r>
            <w:r w:rsidR="002B067E">
              <w:rPr>
                <w:noProof/>
                <w:webHidden/>
              </w:rPr>
              <w:tab/>
            </w:r>
            <w:r w:rsidR="002B067E">
              <w:rPr>
                <w:noProof/>
                <w:webHidden/>
              </w:rPr>
              <w:fldChar w:fldCharType="begin"/>
            </w:r>
            <w:r w:rsidR="002B067E">
              <w:rPr>
                <w:noProof/>
                <w:webHidden/>
              </w:rPr>
              <w:instrText xml:space="preserve"> PAGEREF _Toc532888206 \h </w:instrText>
            </w:r>
            <w:r w:rsidR="002B067E">
              <w:rPr>
                <w:noProof/>
                <w:webHidden/>
              </w:rPr>
            </w:r>
            <w:r w:rsidR="002B067E">
              <w:rPr>
                <w:noProof/>
                <w:webHidden/>
              </w:rPr>
              <w:fldChar w:fldCharType="separate"/>
            </w:r>
            <w:r w:rsidR="005A4D49">
              <w:rPr>
                <w:noProof/>
                <w:webHidden/>
              </w:rPr>
              <w:t>9</w:t>
            </w:r>
            <w:r w:rsidR="002B067E">
              <w:rPr>
                <w:noProof/>
                <w:webHidden/>
              </w:rPr>
              <w:fldChar w:fldCharType="end"/>
            </w:r>
          </w:hyperlink>
        </w:p>
        <w:p w14:paraId="5A387A6D" w14:textId="1F4DD409" w:rsidR="002B067E" w:rsidRDefault="00CD7707">
          <w:pPr>
            <w:pStyle w:val="TM3"/>
            <w:tabs>
              <w:tab w:val="right" w:leader="dot" w:pos="9062"/>
            </w:tabs>
            <w:rPr>
              <w:noProof/>
              <w:lang w:eastAsia="fr-FR"/>
            </w:rPr>
          </w:pPr>
          <w:hyperlink w:anchor="_Toc532888207" w:history="1">
            <w:r w:rsidR="002B067E" w:rsidRPr="00294DA5">
              <w:rPr>
                <w:rStyle w:val="Lienhypertexte"/>
                <w:noProof/>
              </w:rPr>
              <w:t>7.4 Confidentialité et protection des données de l’entreprise</w:t>
            </w:r>
            <w:r w:rsidR="002B067E">
              <w:rPr>
                <w:noProof/>
                <w:webHidden/>
              </w:rPr>
              <w:tab/>
            </w:r>
            <w:r w:rsidR="002B067E">
              <w:rPr>
                <w:noProof/>
                <w:webHidden/>
              </w:rPr>
              <w:fldChar w:fldCharType="begin"/>
            </w:r>
            <w:r w:rsidR="002B067E">
              <w:rPr>
                <w:noProof/>
                <w:webHidden/>
              </w:rPr>
              <w:instrText xml:space="preserve"> PAGEREF _Toc532888207 \h </w:instrText>
            </w:r>
            <w:r w:rsidR="002B067E">
              <w:rPr>
                <w:noProof/>
                <w:webHidden/>
              </w:rPr>
            </w:r>
            <w:r w:rsidR="002B067E">
              <w:rPr>
                <w:noProof/>
                <w:webHidden/>
              </w:rPr>
              <w:fldChar w:fldCharType="separate"/>
            </w:r>
            <w:r w:rsidR="005A4D49">
              <w:rPr>
                <w:noProof/>
                <w:webHidden/>
              </w:rPr>
              <w:t>10</w:t>
            </w:r>
            <w:r w:rsidR="002B067E">
              <w:rPr>
                <w:noProof/>
                <w:webHidden/>
              </w:rPr>
              <w:fldChar w:fldCharType="end"/>
            </w:r>
          </w:hyperlink>
        </w:p>
        <w:p w14:paraId="43BDA075" w14:textId="07CC1612" w:rsidR="002B067E" w:rsidRDefault="00CD7707">
          <w:pPr>
            <w:pStyle w:val="TM3"/>
            <w:tabs>
              <w:tab w:val="right" w:leader="dot" w:pos="9062"/>
            </w:tabs>
            <w:rPr>
              <w:noProof/>
              <w:lang w:eastAsia="fr-FR"/>
            </w:rPr>
          </w:pPr>
          <w:hyperlink w:anchor="_Toc532888208" w:history="1">
            <w:r w:rsidR="002B067E" w:rsidRPr="00294DA5">
              <w:rPr>
                <w:rStyle w:val="Lienhypertexte"/>
                <w:noProof/>
              </w:rPr>
              <w:t>7.5 Accident de Travail</w:t>
            </w:r>
            <w:r w:rsidR="002B067E">
              <w:rPr>
                <w:noProof/>
                <w:webHidden/>
              </w:rPr>
              <w:tab/>
            </w:r>
            <w:r w:rsidR="002B067E">
              <w:rPr>
                <w:noProof/>
                <w:webHidden/>
              </w:rPr>
              <w:fldChar w:fldCharType="begin"/>
            </w:r>
            <w:r w:rsidR="002B067E">
              <w:rPr>
                <w:noProof/>
                <w:webHidden/>
              </w:rPr>
              <w:instrText xml:space="preserve"> PAGEREF _Toc532888208 \h </w:instrText>
            </w:r>
            <w:r w:rsidR="002B067E">
              <w:rPr>
                <w:noProof/>
                <w:webHidden/>
              </w:rPr>
            </w:r>
            <w:r w:rsidR="002B067E">
              <w:rPr>
                <w:noProof/>
                <w:webHidden/>
              </w:rPr>
              <w:fldChar w:fldCharType="separate"/>
            </w:r>
            <w:r w:rsidR="005A4D49">
              <w:rPr>
                <w:noProof/>
                <w:webHidden/>
              </w:rPr>
              <w:t>10</w:t>
            </w:r>
            <w:r w:rsidR="002B067E">
              <w:rPr>
                <w:noProof/>
                <w:webHidden/>
              </w:rPr>
              <w:fldChar w:fldCharType="end"/>
            </w:r>
          </w:hyperlink>
        </w:p>
        <w:p w14:paraId="5CC181D1" w14:textId="3B7757E1" w:rsidR="002B067E" w:rsidRDefault="00CD7707">
          <w:pPr>
            <w:pStyle w:val="TM2"/>
            <w:rPr>
              <w:rFonts w:eastAsiaTheme="minorEastAsia"/>
              <w:noProof/>
              <w:lang w:eastAsia="fr-FR"/>
            </w:rPr>
          </w:pPr>
          <w:hyperlink w:anchor="_Toc532888209" w:history="1">
            <w:r w:rsidR="002B067E" w:rsidRPr="00294DA5">
              <w:rPr>
                <w:rStyle w:val="Lienhypertexte"/>
                <w:noProof/>
              </w:rPr>
              <w:t>Article 8 – Sensibilisation</w:t>
            </w:r>
            <w:r w:rsidR="002B067E">
              <w:rPr>
                <w:noProof/>
                <w:webHidden/>
              </w:rPr>
              <w:tab/>
            </w:r>
            <w:r w:rsidR="002B067E">
              <w:rPr>
                <w:noProof/>
                <w:webHidden/>
              </w:rPr>
              <w:fldChar w:fldCharType="begin"/>
            </w:r>
            <w:r w:rsidR="002B067E">
              <w:rPr>
                <w:noProof/>
                <w:webHidden/>
              </w:rPr>
              <w:instrText xml:space="preserve"> PAGEREF _Toc532888209 \h </w:instrText>
            </w:r>
            <w:r w:rsidR="002B067E">
              <w:rPr>
                <w:noProof/>
                <w:webHidden/>
              </w:rPr>
            </w:r>
            <w:r w:rsidR="002B067E">
              <w:rPr>
                <w:noProof/>
                <w:webHidden/>
              </w:rPr>
              <w:fldChar w:fldCharType="separate"/>
            </w:r>
            <w:r w:rsidR="005A4D49">
              <w:rPr>
                <w:noProof/>
                <w:webHidden/>
              </w:rPr>
              <w:t>10</w:t>
            </w:r>
            <w:r w:rsidR="002B067E">
              <w:rPr>
                <w:noProof/>
                <w:webHidden/>
              </w:rPr>
              <w:fldChar w:fldCharType="end"/>
            </w:r>
          </w:hyperlink>
        </w:p>
        <w:p w14:paraId="069E1C8D" w14:textId="6C731413" w:rsidR="002B067E" w:rsidRDefault="00CD7707">
          <w:pPr>
            <w:pStyle w:val="TM2"/>
            <w:rPr>
              <w:rFonts w:eastAsiaTheme="minorEastAsia"/>
              <w:noProof/>
              <w:lang w:eastAsia="fr-FR"/>
            </w:rPr>
          </w:pPr>
          <w:hyperlink w:anchor="_Toc532888210" w:history="1">
            <w:r w:rsidR="002B067E" w:rsidRPr="00294DA5">
              <w:rPr>
                <w:rStyle w:val="Lienhypertexte"/>
                <w:noProof/>
              </w:rPr>
              <w:t>Article 9- Suivi de l’accord - Bilan</w:t>
            </w:r>
            <w:r w:rsidR="002B067E">
              <w:rPr>
                <w:noProof/>
                <w:webHidden/>
              </w:rPr>
              <w:tab/>
            </w:r>
            <w:r w:rsidR="002B067E">
              <w:rPr>
                <w:noProof/>
                <w:webHidden/>
              </w:rPr>
              <w:fldChar w:fldCharType="begin"/>
            </w:r>
            <w:r w:rsidR="002B067E">
              <w:rPr>
                <w:noProof/>
                <w:webHidden/>
              </w:rPr>
              <w:instrText xml:space="preserve"> PAGEREF _Toc532888210 \h </w:instrText>
            </w:r>
            <w:r w:rsidR="002B067E">
              <w:rPr>
                <w:noProof/>
                <w:webHidden/>
              </w:rPr>
            </w:r>
            <w:r w:rsidR="002B067E">
              <w:rPr>
                <w:noProof/>
                <w:webHidden/>
              </w:rPr>
              <w:fldChar w:fldCharType="separate"/>
            </w:r>
            <w:r w:rsidR="005A4D49">
              <w:rPr>
                <w:noProof/>
                <w:webHidden/>
              </w:rPr>
              <w:t>11</w:t>
            </w:r>
            <w:r w:rsidR="002B067E">
              <w:rPr>
                <w:noProof/>
                <w:webHidden/>
              </w:rPr>
              <w:fldChar w:fldCharType="end"/>
            </w:r>
          </w:hyperlink>
        </w:p>
        <w:p w14:paraId="7AB9F6BB" w14:textId="15D605BB" w:rsidR="002B067E" w:rsidRDefault="00CD7707">
          <w:pPr>
            <w:pStyle w:val="TM2"/>
            <w:rPr>
              <w:rFonts w:eastAsiaTheme="minorEastAsia"/>
              <w:noProof/>
              <w:lang w:eastAsia="fr-FR"/>
            </w:rPr>
          </w:pPr>
          <w:hyperlink w:anchor="_Toc532888211" w:history="1">
            <w:r w:rsidR="002B067E" w:rsidRPr="00294DA5">
              <w:rPr>
                <w:rStyle w:val="Lienhypertexte"/>
                <w:noProof/>
              </w:rPr>
              <w:t>Article 10 - Durée et entrée en vigueur de l’accord</w:t>
            </w:r>
            <w:r w:rsidR="002B067E">
              <w:rPr>
                <w:noProof/>
                <w:webHidden/>
              </w:rPr>
              <w:tab/>
            </w:r>
            <w:r w:rsidR="002B067E">
              <w:rPr>
                <w:noProof/>
                <w:webHidden/>
              </w:rPr>
              <w:fldChar w:fldCharType="begin"/>
            </w:r>
            <w:r w:rsidR="002B067E">
              <w:rPr>
                <w:noProof/>
                <w:webHidden/>
              </w:rPr>
              <w:instrText xml:space="preserve"> PAGEREF _Toc532888211 \h </w:instrText>
            </w:r>
            <w:r w:rsidR="002B067E">
              <w:rPr>
                <w:noProof/>
                <w:webHidden/>
              </w:rPr>
            </w:r>
            <w:r w:rsidR="002B067E">
              <w:rPr>
                <w:noProof/>
                <w:webHidden/>
              </w:rPr>
              <w:fldChar w:fldCharType="separate"/>
            </w:r>
            <w:r w:rsidR="005A4D49">
              <w:rPr>
                <w:noProof/>
                <w:webHidden/>
              </w:rPr>
              <w:t>11</w:t>
            </w:r>
            <w:r w:rsidR="002B067E">
              <w:rPr>
                <w:noProof/>
                <w:webHidden/>
              </w:rPr>
              <w:fldChar w:fldCharType="end"/>
            </w:r>
          </w:hyperlink>
        </w:p>
        <w:p w14:paraId="4B3B55E6" w14:textId="4EA68EE8" w:rsidR="002B067E" w:rsidRDefault="00CD7707">
          <w:pPr>
            <w:pStyle w:val="TM2"/>
            <w:rPr>
              <w:rFonts w:eastAsiaTheme="minorEastAsia"/>
              <w:noProof/>
              <w:lang w:eastAsia="fr-FR"/>
            </w:rPr>
          </w:pPr>
          <w:hyperlink w:anchor="_Toc532888212" w:history="1">
            <w:r w:rsidR="002B067E" w:rsidRPr="00294DA5">
              <w:rPr>
                <w:rStyle w:val="Lienhypertexte"/>
                <w:noProof/>
              </w:rPr>
              <w:t>Article 11 - Révision</w:t>
            </w:r>
            <w:r w:rsidR="002B067E">
              <w:rPr>
                <w:noProof/>
                <w:webHidden/>
              </w:rPr>
              <w:tab/>
            </w:r>
            <w:r w:rsidR="002B067E">
              <w:rPr>
                <w:noProof/>
                <w:webHidden/>
              </w:rPr>
              <w:fldChar w:fldCharType="begin"/>
            </w:r>
            <w:r w:rsidR="002B067E">
              <w:rPr>
                <w:noProof/>
                <w:webHidden/>
              </w:rPr>
              <w:instrText xml:space="preserve"> PAGEREF _Toc532888212 \h </w:instrText>
            </w:r>
            <w:r w:rsidR="002B067E">
              <w:rPr>
                <w:noProof/>
                <w:webHidden/>
              </w:rPr>
            </w:r>
            <w:r w:rsidR="002B067E">
              <w:rPr>
                <w:noProof/>
                <w:webHidden/>
              </w:rPr>
              <w:fldChar w:fldCharType="separate"/>
            </w:r>
            <w:r w:rsidR="005A4D49">
              <w:rPr>
                <w:noProof/>
                <w:webHidden/>
              </w:rPr>
              <w:t>11</w:t>
            </w:r>
            <w:r w:rsidR="002B067E">
              <w:rPr>
                <w:noProof/>
                <w:webHidden/>
              </w:rPr>
              <w:fldChar w:fldCharType="end"/>
            </w:r>
          </w:hyperlink>
        </w:p>
        <w:p w14:paraId="3E5B3D09" w14:textId="66C5280E" w:rsidR="002B067E" w:rsidRDefault="00CD7707">
          <w:pPr>
            <w:pStyle w:val="TM2"/>
            <w:rPr>
              <w:rFonts w:eastAsiaTheme="minorEastAsia"/>
              <w:noProof/>
              <w:lang w:eastAsia="fr-FR"/>
            </w:rPr>
          </w:pPr>
          <w:hyperlink w:anchor="_Toc532888213" w:history="1">
            <w:r w:rsidR="002B067E" w:rsidRPr="00294DA5">
              <w:rPr>
                <w:rStyle w:val="Lienhypertexte"/>
                <w:noProof/>
              </w:rPr>
              <w:t>Article 12 – Dépôt</w:t>
            </w:r>
            <w:r w:rsidR="002B067E">
              <w:rPr>
                <w:noProof/>
                <w:webHidden/>
              </w:rPr>
              <w:tab/>
            </w:r>
            <w:r w:rsidR="002B067E">
              <w:rPr>
                <w:noProof/>
                <w:webHidden/>
              </w:rPr>
              <w:fldChar w:fldCharType="begin"/>
            </w:r>
            <w:r w:rsidR="002B067E">
              <w:rPr>
                <w:noProof/>
                <w:webHidden/>
              </w:rPr>
              <w:instrText xml:space="preserve"> PAGEREF _Toc532888213 \h </w:instrText>
            </w:r>
            <w:r w:rsidR="002B067E">
              <w:rPr>
                <w:noProof/>
                <w:webHidden/>
              </w:rPr>
            </w:r>
            <w:r w:rsidR="002B067E">
              <w:rPr>
                <w:noProof/>
                <w:webHidden/>
              </w:rPr>
              <w:fldChar w:fldCharType="separate"/>
            </w:r>
            <w:r w:rsidR="005A4D49">
              <w:rPr>
                <w:noProof/>
                <w:webHidden/>
              </w:rPr>
              <w:t>11</w:t>
            </w:r>
            <w:r w:rsidR="002B067E">
              <w:rPr>
                <w:noProof/>
                <w:webHidden/>
              </w:rPr>
              <w:fldChar w:fldCharType="end"/>
            </w:r>
          </w:hyperlink>
        </w:p>
        <w:p w14:paraId="4D414C00" w14:textId="349E8FC2" w:rsidR="002B067E" w:rsidRDefault="00CD7707">
          <w:pPr>
            <w:pStyle w:val="TM2"/>
            <w:rPr>
              <w:rFonts w:eastAsiaTheme="minorEastAsia"/>
              <w:noProof/>
              <w:lang w:eastAsia="fr-FR"/>
            </w:rPr>
          </w:pPr>
          <w:hyperlink w:anchor="_Toc532888214" w:history="1">
            <w:r w:rsidR="002B067E" w:rsidRPr="00294DA5">
              <w:rPr>
                <w:rStyle w:val="Lienhypertexte"/>
                <w:noProof/>
              </w:rPr>
              <w:t>Annexe 1</w:t>
            </w:r>
            <w:r w:rsidR="002B067E">
              <w:rPr>
                <w:noProof/>
                <w:webHidden/>
              </w:rPr>
              <w:tab/>
            </w:r>
            <w:r w:rsidR="002B067E">
              <w:rPr>
                <w:noProof/>
                <w:webHidden/>
              </w:rPr>
              <w:fldChar w:fldCharType="begin"/>
            </w:r>
            <w:r w:rsidR="002B067E">
              <w:rPr>
                <w:noProof/>
                <w:webHidden/>
              </w:rPr>
              <w:instrText xml:space="preserve"> PAGEREF _Toc532888214 \h </w:instrText>
            </w:r>
            <w:r w:rsidR="002B067E">
              <w:rPr>
                <w:noProof/>
                <w:webHidden/>
              </w:rPr>
            </w:r>
            <w:r w:rsidR="002B067E">
              <w:rPr>
                <w:noProof/>
                <w:webHidden/>
              </w:rPr>
              <w:fldChar w:fldCharType="separate"/>
            </w:r>
            <w:r w:rsidR="005A4D49">
              <w:rPr>
                <w:noProof/>
                <w:webHidden/>
              </w:rPr>
              <w:t>12</w:t>
            </w:r>
            <w:r w:rsidR="002B067E">
              <w:rPr>
                <w:noProof/>
                <w:webHidden/>
              </w:rPr>
              <w:fldChar w:fldCharType="end"/>
            </w:r>
          </w:hyperlink>
        </w:p>
        <w:p w14:paraId="5D0D6BA6" w14:textId="77777777" w:rsidR="00373181" w:rsidRDefault="00373181" w:rsidP="00D902E9">
          <w:r>
            <w:fldChar w:fldCharType="end"/>
          </w:r>
        </w:p>
      </w:sdtContent>
    </w:sdt>
    <w:p w14:paraId="66E79C5D" w14:textId="77777777" w:rsidR="00373181" w:rsidRDefault="00373181" w:rsidP="00D902E9">
      <w:pPr>
        <w:pStyle w:val="Titre2"/>
      </w:pPr>
    </w:p>
    <w:p w14:paraId="5E668C8D" w14:textId="77777777" w:rsidR="00373181" w:rsidRDefault="00373181" w:rsidP="00D902E9">
      <w:pPr>
        <w:rPr>
          <w:rFonts w:asciiTheme="majorHAnsi" w:eastAsiaTheme="majorEastAsia" w:hAnsiTheme="majorHAnsi" w:cstheme="majorBidi"/>
          <w:color w:val="365F91" w:themeColor="accent1" w:themeShade="BF"/>
          <w:sz w:val="26"/>
          <w:szCs w:val="26"/>
        </w:rPr>
      </w:pPr>
      <w:r>
        <w:br w:type="page"/>
      </w:r>
    </w:p>
    <w:p w14:paraId="1F2AE53A" w14:textId="77777777" w:rsidR="00807485" w:rsidRPr="00022B22" w:rsidRDefault="00000C66" w:rsidP="00D902E9">
      <w:pPr>
        <w:pStyle w:val="Titre2"/>
      </w:pPr>
      <w:bookmarkStart w:id="2" w:name="_Toc532888188"/>
      <w:r w:rsidRPr="00022B22">
        <w:lastRenderedPageBreak/>
        <w:t>Préambule</w:t>
      </w:r>
      <w:bookmarkEnd w:id="1"/>
      <w:bookmarkEnd w:id="2"/>
    </w:p>
    <w:p w14:paraId="4BA89A0B" w14:textId="77777777" w:rsidR="00257B6C" w:rsidRPr="00257B6C" w:rsidRDefault="00257B6C" w:rsidP="00257B6C">
      <w:pPr>
        <w:spacing w:after="0" w:line="240" w:lineRule="auto"/>
        <w:rPr>
          <w:rFonts w:ascii="Cambria" w:eastAsia="Times New Roman" w:hAnsi="Cambria" w:cs="Arial"/>
          <w:b/>
          <w:smallCaps/>
          <w:u w:val="single"/>
          <w:lang w:eastAsia="fr-FR"/>
        </w:rPr>
      </w:pPr>
    </w:p>
    <w:p w14:paraId="1E2A65C6" w14:textId="77777777" w:rsidR="003108B2" w:rsidRPr="00373181" w:rsidRDefault="003108B2" w:rsidP="00D902E9">
      <w:bookmarkStart w:id="3" w:name="_Toc532886370"/>
      <w:r w:rsidRPr="00373181">
        <w:t>Le télétravail consiste pour un salarié à exercer de façon volontaire</w:t>
      </w:r>
      <w:r w:rsidR="000704F4" w:rsidRPr="00373181">
        <w:t>,</w:t>
      </w:r>
      <w:r w:rsidRPr="00373181">
        <w:t xml:space="preserve"> </w:t>
      </w:r>
      <w:r w:rsidR="00484DE8" w:rsidRPr="00373181">
        <w:t xml:space="preserve">et à son domicile, </w:t>
      </w:r>
      <w:r w:rsidRPr="00373181">
        <w:t>un travail qui aurait pu ê</w:t>
      </w:r>
      <w:r w:rsidR="000704F4" w:rsidRPr="00373181">
        <w:t xml:space="preserve">tre effectué dans </w:t>
      </w:r>
      <w:r w:rsidRPr="00373181">
        <w:t>l’entreprise, en utilisant d</w:t>
      </w:r>
      <w:r w:rsidR="00022B22" w:rsidRPr="00373181">
        <w:t>es moyens technologiques adapté</w:t>
      </w:r>
      <w:r w:rsidRPr="00373181">
        <w:t>s</w:t>
      </w:r>
      <w:r w:rsidR="00484DE8" w:rsidRPr="00373181">
        <w:t xml:space="preserve"> mis à sa disposition</w:t>
      </w:r>
      <w:r w:rsidRPr="00373181">
        <w:t>.</w:t>
      </w:r>
      <w:bookmarkEnd w:id="3"/>
      <w:r w:rsidRPr="00373181">
        <w:t xml:space="preserve"> </w:t>
      </w:r>
    </w:p>
    <w:p w14:paraId="5B8F253C" w14:textId="77777777" w:rsidR="005915FB" w:rsidRDefault="005915FB" w:rsidP="00D902E9">
      <w:bookmarkStart w:id="4" w:name="_Toc532886371"/>
      <w:r w:rsidRPr="00373181">
        <w:t>Cette organisation du tr</w:t>
      </w:r>
      <w:r w:rsidR="00F342D5" w:rsidRPr="00373181">
        <w:t>avail se développe</w:t>
      </w:r>
      <w:r w:rsidRPr="00373181">
        <w:t xml:space="preserve"> </w:t>
      </w:r>
      <w:r w:rsidR="00484DE8" w:rsidRPr="00373181">
        <w:t xml:space="preserve">depuis plusieurs années, </w:t>
      </w:r>
      <w:r w:rsidR="002B2E08" w:rsidRPr="00373181">
        <w:t xml:space="preserve">notamment </w:t>
      </w:r>
      <w:r w:rsidR="00484DE8" w:rsidRPr="00373181">
        <w:t>dans une perspective d’a</w:t>
      </w:r>
      <w:r w:rsidR="00F342D5" w:rsidRPr="00373181">
        <w:t>mélioration de la qualité de vie au travail</w:t>
      </w:r>
      <w:r w:rsidR="00484DE8" w:rsidRPr="00373181">
        <w:t>, de</w:t>
      </w:r>
      <w:r w:rsidR="002B2E08" w:rsidRPr="00373181">
        <w:t xml:space="preserve"> modernisation de la relation au travail</w:t>
      </w:r>
      <w:r w:rsidR="001409A7" w:rsidRPr="00373181">
        <w:t xml:space="preserve"> et de recherche de performance</w:t>
      </w:r>
      <w:r w:rsidR="002B2E08" w:rsidRPr="00373181">
        <w:t>.</w:t>
      </w:r>
      <w:bookmarkEnd w:id="4"/>
    </w:p>
    <w:p w14:paraId="1D945381" w14:textId="77777777" w:rsidR="00173567" w:rsidRDefault="005915FB" w:rsidP="00D902E9">
      <w:pPr>
        <w:rPr>
          <w:lang w:eastAsia="fr-FR"/>
        </w:rPr>
      </w:pPr>
      <w:bookmarkStart w:id="5" w:name="_Toc532886372"/>
      <w:r>
        <w:rPr>
          <w:lang w:eastAsia="fr-FR"/>
        </w:rPr>
        <w:t>D’après la Direction de l’animation de la recherche, des études et des statistiques (DARES) du ministère du travail il concernait en 2016 environ 8% des travailleurs passant une partie importante de leur temps en télétravail et 14% pour un recours plus marginal.</w:t>
      </w:r>
      <w:bookmarkEnd w:id="5"/>
      <w:r w:rsidR="00373181">
        <w:rPr>
          <w:lang w:eastAsia="fr-FR"/>
        </w:rPr>
        <w:t xml:space="preserve"> </w:t>
      </w:r>
    </w:p>
    <w:p w14:paraId="5E543422" w14:textId="77777777" w:rsidR="00C50ACC" w:rsidRPr="004C5864" w:rsidRDefault="00173567" w:rsidP="00D902E9">
      <w:pPr>
        <w:rPr>
          <w:lang w:eastAsia="fr-FR"/>
        </w:rPr>
      </w:pPr>
      <w:bookmarkStart w:id="6" w:name="_Toc532886373"/>
      <w:r>
        <w:rPr>
          <w:lang w:eastAsia="fr-FR"/>
        </w:rPr>
        <w:t>La nouvelle législation en vigueur issue de l</w:t>
      </w:r>
      <w:r w:rsidR="003108B2">
        <w:rPr>
          <w:lang w:eastAsia="fr-FR"/>
        </w:rPr>
        <w:t xml:space="preserve">’ordonnance </w:t>
      </w:r>
      <w:r>
        <w:rPr>
          <w:lang w:eastAsia="fr-FR"/>
        </w:rPr>
        <w:t xml:space="preserve">2017-1387 du </w:t>
      </w:r>
      <w:r w:rsidR="00F342D5">
        <w:rPr>
          <w:lang w:eastAsia="fr-FR"/>
        </w:rPr>
        <w:t xml:space="preserve">24 septembre 2017 </w:t>
      </w:r>
      <w:r>
        <w:rPr>
          <w:lang w:eastAsia="fr-FR"/>
        </w:rPr>
        <w:t xml:space="preserve">et de la loi de ratification du 29 mars 2018 a </w:t>
      </w:r>
      <w:r w:rsidR="003108B2">
        <w:rPr>
          <w:lang w:eastAsia="fr-FR"/>
        </w:rPr>
        <w:t xml:space="preserve">assoupli le régime juridique </w:t>
      </w:r>
      <w:r w:rsidR="00F342D5">
        <w:rPr>
          <w:lang w:eastAsia="fr-FR"/>
        </w:rPr>
        <w:t>du télétravail dans l’</w:t>
      </w:r>
      <w:r w:rsidR="003108B2">
        <w:rPr>
          <w:lang w:eastAsia="fr-FR"/>
        </w:rPr>
        <w:t>objectif de développer le recours à cette forme d’organisation du travail.</w:t>
      </w:r>
      <w:bookmarkEnd w:id="6"/>
      <w:r w:rsidR="003108B2">
        <w:rPr>
          <w:lang w:eastAsia="fr-FR"/>
        </w:rPr>
        <w:t xml:space="preserve"> </w:t>
      </w:r>
    </w:p>
    <w:p w14:paraId="5F60E600" w14:textId="77777777" w:rsidR="00DB0179" w:rsidRDefault="004C5864" w:rsidP="00D902E9">
      <w:r>
        <w:t xml:space="preserve">Au sein du Groupe casino, une charte Groupe sur le télétravail a été adoptée le 18 mai 2018. </w:t>
      </w:r>
    </w:p>
    <w:p w14:paraId="1A9F3BA7" w14:textId="25AE23BB" w:rsidR="00B87302" w:rsidRDefault="00DB0179" w:rsidP="00B87302">
      <w:pPr>
        <w:kinsoku w:val="0"/>
        <w:overflowPunct w:val="0"/>
        <w:spacing w:after="0"/>
        <w:contextualSpacing/>
        <w:textAlignment w:val="baseline"/>
      </w:pPr>
      <w:r>
        <w:t xml:space="preserve">Par ailleurs, </w:t>
      </w:r>
      <w:r w:rsidR="00F836BB">
        <w:t>l’établissement</w:t>
      </w:r>
      <w:r>
        <w:t xml:space="preserve"> </w:t>
      </w:r>
      <w:r w:rsidR="00F836BB">
        <w:t>DSI</w:t>
      </w:r>
      <w:r>
        <w:t xml:space="preserve">, </w:t>
      </w:r>
      <w:r w:rsidRPr="00B87302">
        <w:t xml:space="preserve">suite au succès d’un accord pilote d’un an signé en 2012, a signé un accord triennal portant sur le Télétravail le 28 mars 2014 puis un nouvel accord triennal relatif aux modalités d’exercice du télétravail le 14 mars 2017. </w:t>
      </w:r>
    </w:p>
    <w:p w14:paraId="42077D70" w14:textId="77777777" w:rsidR="00220840" w:rsidRDefault="00220840" w:rsidP="00B87302">
      <w:pPr>
        <w:kinsoku w:val="0"/>
        <w:overflowPunct w:val="0"/>
        <w:spacing w:after="0"/>
        <w:contextualSpacing/>
        <w:textAlignment w:val="baseline"/>
      </w:pPr>
    </w:p>
    <w:p w14:paraId="5E666533" w14:textId="0AD15C94" w:rsidR="00FB224F" w:rsidRDefault="00FB224F" w:rsidP="00B87302">
      <w:pPr>
        <w:kinsoku w:val="0"/>
        <w:overflowPunct w:val="0"/>
        <w:spacing w:after="0"/>
        <w:contextualSpacing/>
        <w:textAlignment w:val="baseline"/>
      </w:pPr>
      <w:r w:rsidRPr="004C5864">
        <w:t xml:space="preserve">Afin de permettre </w:t>
      </w:r>
      <w:r w:rsidR="00257B6C">
        <w:t>la poursuite</w:t>
      </w:r>
      <w:r w:rsidR="00A618AC">
        <w:t xml:space="preserve"> </w:t>
      </w:r>
      <w:r w:rsidRPr="004C5864">
        <w:t xml:space="preserve">du télétravail </w:t>
      </w:r>
      <w:r w:rsidR="00A618AC">
        <w:t xml:space="preserve">aux </w:t>
      </w:r>
      <w:r w:rsidRPr="004C5864">
        <w:t>collaborateurs</w:t>
      </w:r>
      <w:r w:rsidR="00A618AC">
        <w:t xml:space="preserve"> de </w:t>
      </w:r>
      <w:r w:rsidR="00F836BB">
        <w:t xml:space="preserve">l’établissement </w:t>
      </w:r>
      <w:r w:rsidR="00A618AC">
        <w:t>DSI</w:t>
      </w:r>
      <w:r w:rsidRPr="004C5864">
        <w:t xml:space="preserve">, </w:t>
      </w:r>
      <w:r w:rsidR="006D671F" w:rsidRPr="004C5864">
        <w:t xml:space="preserve">il a été ouvert une négociation d’établissement avec les Organisations Syndicales </w:t>
      </w:r>
      <w:r w:rsidR="007D54B1" w:rsidRPr="004C5864">
        <w:t xml:space="preserve">représentatives </w:t>
      </w:r>
      <w:r w:rsidR="006D671F" w:rsidRPr="004C5864">
        <w:t xml:space="preserve">sur l’établissement </w:t>
      </w:r>
      <w:r w:rsidR="00A618AC">
        <w:t>DSI</w:t>
      </w:r>
      <w:r w:rsidR="006D671F" w:rsidRPr="004C5864">
        <w:t xml:space="preserve"> </w:t>
      </w:r>
      <w:r w:rsidR="00E96F9D" w:rsidRPr="004C5864">
        <w:t>pour convenir de nouvelles modalités d’exercice sur le télétravail</w:t>
      </w:r>
      <w:r w:rsidR="00173567">
        <w:t>.</w:t>
      </w:r>
    </w:p>
    <w:p w14:paraId="34640B61" w14:textId="77777777" w:rsidR="00220840" w:rsidRPr="00373181" w:rsidRDefault="00220840" w:rsidP="00B87302">
      <w:pPr>
        <w:kinsoku w:val="0"/>
        <w:overflowPunct w:val="0"/>
        <w:spacing w:after="0"/>
        <w:contextualSpacing/>
        <w:textAlignment w:val="baseline"/>
      </w:pPr>
    </w:p>
    <w:p w14:paraId="194538A9" w14:textId="7C36AED8" w:rsidR="00173567" w:rsidRDefault="00E96F9D" w:rsidP="00D902E9">
      <w:r w:rsidRPr="004C5864">
        <w:t>L</w:t>
      </w:r>
      <w:r w:rsidR="00FB224F" w:rsidRPr="004C5864">
        <w:t xml:space="preserve">es Parties se sont </w:t>
      </w:r>
      <w:r w:rsidRPr="004C5864">
        <w:t xml:space="preserve">ainsi </w:t>
      </w:r>
      <w:r w:rsidR="00FB224F" w:rsidRPr="004C5864">
        <w:t xml:space="preserve">rencontrées </w:t>
      </w:r>
      <w:r w:rsidR="00FB224F" w:rsidRPr="00220840">
        <w:t xml:space="preserve">les </w:t>
      </w:r>
      <w:r w:rsidR="00A618AC" w:rsidRPr="00220840">
        <w:t>7 février</w:t>
      </w:r>
      <w:r w:rsidR="00B87302" w:rsidRPr="00220840">
        <w:t>,</w:t>
      </w:r>
      <w:r w:rsidR="00105892">
        <w:t xml:space="preserve"> 21</w:t>
      </w:r>
      <w:r w:rsidR="00220840" w:rsidRPr="00220840">
        <w:t xml:space="preserve"> </w:t>
      </w:r>
      <w:r w:rsidR="00BB3850" w:rsidRPr="00220840">
        <w:t>février</w:t>
      </w:r>
      <w:r w:rsidR="00B87302" w:rsidRPr="00220840">
        <w:t xml:space="preserve"> et 10 mars</w:t>
      </w:r>
      <w:r w:rsidR="00BB3850" w:rsidRPr="00220840">
        <w:t xml:space="preserve"> </w:t>
      </w:r>
      <w:r w:rsidR="00A618AC" w:rsidRPr="00220840">
        <w:t>2020</w:t>
      </w:r>
      <w:r w:rsidR="00FB224F" w:rsidRPr="00220840">
        <w:t xml:space="preserve"> avec</w:t>
      </w:r>
      <w:r w:rsidR="00FB224F" w:rsidRPr="004C5864">
        <w:t xml:space="preserve"> pour objectif de concilier</w:t>
      </w:r>
      <w:r w:rsidRPr="004C5864">
        <w:t xml:space="preserve"> d’une part</w:t>
      </w:r>
      <w:r w:rsidR="00FB224F" w:rsidRPr="004C5864">
        <w:t xml:space="preserve"> le bon fonctionnement </w:t>
      </w:r>
      <w:r w:rsidRPr="004C5864">
        <w:t xml:space="preserve">et la bonne organisation </w:t>
      </w:r>
      <w:r w:rsidR="00FB224F" w:rsidRPr="004C5864">
        <w:t xml:space="preserve">de l’établissement </w:t>
      </w:r>
      <w:r w:rsidR="007A0456">
        <w:t xml:space="preserve">DSI </w:t>
      </w:r>
      <w:r w:rsidRPr="004C5864">
        <w:t xml:space="preserve"> et d’autre part les attentes des collaborateurs sur le télétravail. </w:t>
      </w:r>
    </w:p>
    <w:p w14:paraId="0F9B6ACA" w14:textId="77777777" w:rsidR="00173567" w:rsidRPr="009D31A5" w:rsidRDefault="00173567" w:rsidP="00D902E9">
      <w:r>
        <w:t xml:space="preserve">Elles ont souhaité par le présent accord </w:t>
      </w:r>
      <w:r w:rsidRPr="009D31A5">
        <w:t>participer au développement :</w:t>
      </w:r>
    </w:p>
    <w:p w14:paraId="585C6E1F" w14:textId="77777777" w:rsidR="00173567" w:rsidRPr="009D31A5" w:rsidRDefault="00B86C08" w:rsidP="00D902E9">
      <w:r>
        <w:t>- D</w:t>
      </w:r>
      <w:r w:rsidR="00173567" w:rsidRPr="009D31A5">
        <w:t>e relations de travail reposant sur l’autonomie et la responsabilisation de tous les</w:t>
      </w:r>
      <w:r w:rsidR="00173567">
        <w:t xml:space="preserve"> salariés</w:t>
      </w:r>
      <w:r w:rsidR="00173567" w:rsidRPr="009D31A5">
        <w:t xml:space="preserve"> de l’entreprise ;</w:t>
      </w:r>
    </w:p>
    <w:p w14:paraId="6CF97194" w14:textId="77777777" w:rsidR="00173567" w:rsidRPr="009D31A5" w:rsidRDefault="001409A7" w:rsidP="00D902E9">
      <w:r>
        <w:t xml:space="preserve">- </w:t>
      </w:r>
      <w:r w:rsidR="00B86C08">
        <w:t>D</w:t>
      </w:r>
      <w:r w:rsidR="00173567" w:rsidRPr="009D31A5">
        <w:t>e relation</w:t>
      </w:r>
      <w:r>
        <w:t>s</w:t>
      </w:r>
      <w:r w:rsidR="00173567" w:rsidRPr="009D31A5">
        <w:t xml:space="preserve"> de confiance mutuelle</w:t>
      </w:r>
      <w:r w:rsidR="00173567">
        <w:t xml:space="preserve"> </w:t>
      </w:r>
      <w:r w:rsidR="00173567" w:rsidRPr="009D31A5">
        <w:t>entre manager</w:t>
      </w:r>
      <w:r w:rsidR="00173567">
        <w:t>s</w:t>
      </w:r>
      <w:r w:rsidR="00173567" w:rsidRPr="009D31A5">
        <w:t xml:space="preserve"> et salarié</w:t>
      </w:r>
      <w:r w:rsidR="00173567">
        <w:t>s</w:t>
      </w:r>
      <w:r w:rsidR="00173567" w:rsidRPr="009D31A5">
        <w:t xml:space="preserve"> ;</w:t>
      </w:r>
    </w:p>
    <w:p w14:paraId="38871E32" w14:textId="77777777" w:rsidR="001409A7" w:rsidRDefault="00B86C08" w:rsidP="00D902E9">
      <w:r>
        <w:t>- D</w:t>
      </w:r>
      <w:r w:rsidR="001409A7" w:rsidRPr="009D31A5">
        <w:t xml:space="preserve">’une organisation </w:t>
      </w:r>
      <w:r w:rsidR="001409A7">
        <w:t xml:space="preserve">du travail </w:t>
      </w:r>
      <w:r w:rsidR="001409A7" w:rsidRPr="009D31A5">
        <w:t xml:space="preserve">plus efficace </w:t>
      </w:r>
      <w:r w:rsidR="001409A7">
        <w:t>et plus productive</w:t>
      </w:r>
      <w:r>
        <w:t>.</w:t>
      </w:r>
    </w:p>
    <w:p w14:paraId="329E3F81" w14:textId="77777777" w:rsidR="001409A7" w:rsidRPr="004C5864" w:rsidRDefault="00173567" w:rsidP="00D902E9">
      <w:r w:rsidRPr="009D31A5">
        <w:t>Enfin cet accord porte également une attention particulière à la santé et la sécurité des</w:t>
      </w:r>
      <w:r w:rsidR="001409A7">
        <w:t xml:space="preserve"> </w:t>
      </w:r>
      <w:r w:rsidRPr="009D31A5">
        <w:t>salariés.</w:t>
      </w:r>
    </w:p>
    <w:p w14:paraId="7BF6FB72" w14:textId="77777777" w:rsidR="00022B22" w:rsidRPr="00420747" w:rsidRDefault="00E96F9D" w:rsidP="00D902E9">
      <w:r w:rsidRPr="004C5864">
        <w:t xml:space="preserve">C’est dans ce contexte que les Parties ont convenu des dispositions ci-après. </w:t>
      </w:r>
      <w:r w:rsidR="00022B22">
        <w:br w:type="page"/>
      </w:r>
    </w:p>
    <w:p w14:paraId="4D193E79" w14:textId="77777777" w:rsidR="00000C66" w:rsidRPr="004C5864" w:rsidRDefault="00D1584B" w:rsidP="00D902E9">
      <w:pPr>
        <w:pStyle w:val="Titre2"/>
        <w:rPr>
          <w:smallCaps/>
        </w:rPr>
      </w:pPr>
      <w:bookmarkStart w:id="7" w:name="_Toc532886374"/>
      <w:bookmarkStart w:id="8" w:name="_Toc532888189"/>
      <w:r w:rsidRPr="004C5864">
        <w:lastRenderedPageBreak/>
        <w:t>Article 1 -</w:t>
      </w:r>
      <w:r w:rsidR="00000C66" w:rsidRPr="004C5864">
        <w:t xml:space="preserve"> </w:t>
      </w:r>
      <w:r w:rsidR="00115757" w:rsidRPr="004C5864">
        <w:t>Définition</w:t>
      </w:r>
      <w:r w:rsidR="004E2EB0" w:rsidRPr="004C5864">
        <w:t xml:space="preserve"> du t</w:t>
      </w:r>
      <w:r w:rsidR="00234F32" w:rsidRPr="004C5864">
        <w:t>élé</w:t>
      </w:r>
      <w:r w:rsidR="004E2EB0" w:rsidRPr="004C5864">
        <w:t>travail</w:t>
      </w:r>
      <w:r w:rsidR="00995519" w:rsidRPr="004C5864">
        <w:t xml:space="preserve"> r</w:t>
      </w:r>
      <w:r w:rsidR="00234F32" w:rsidRPr="004C5864">
        <w:t>é</w:t>
      </w:r>
      <w:r w:rsidR="00995519" w:rsidRPr="004C5864">
        <w:t>gulier</w:t>
      </w:r>
      <w:bookmarkEnd w:id="7"/>
      <w:bookmarkEnd w:id="8"/>
    </w:p>
    <w:p w14:paraId="5C7E7DC0" w14:textId="77777777" w:rsidR="00000C66" w:rsidRPr="000704F4" w:rsidRDefault="00000C66" w:rsidP="00D902E9">
      <w:pPr>
        <w:pStyle w:val="Sansinterligne"/>
      </w:pPr>
    </w:p>
    <w:p w14:paraId="7BAB07C3" w14:textId="77777777" w:rsidR="00DF3D76" w:rsidRPr="00D902E9" w:rsidRDefault="00DF3D76" w:rsidP="00D902E9">
      <w:r w:rsidRPr="00D902E9">
        <w:t>Selon l’article</w:t>
      </w:r>
      <w:r w:rsidR="007D54B1" w:rsidRPr="00D902E9">
        <w:t xml:space="preserve"> L. 1222-</w:t>
      </w:r>
      <w:r w:rsidRPr="00D902E9">
        <w:t xml:space="preserve">9 du </w:t>
      </w:r>
      <w:r w:rsidR="00234F32" w:rsidRPr="00D902E9">
        <w:t>C</w:t>
      </w:r>
      <w:r w:rsidRPr="00D902E9">
        <w:t>ode du travail, l</w:t>
      </w:r>
      <w:r w:rsidR="006B29A8" w:rsidRPr="00D902E9">
        <w:t xml:space="preserve">e télétravail </w:t>
      </w:r>
      <w:r w:rsidR="00995519" w:rsidRPr="00D902E9">
        <w:t xml:space="preserve"> </w:t>
      </w:r>
      <w:r w:rsidR="006B29A8" w:rsidRPr="00D902E9">
        <w:t xml:space="preserve">se définit comme </w:t>
      </w:r>
      <w:r w:rsidRPr="00D902E9">
        <w:t xml:space="preserve">toute forme d'organisation du travail dans laquelle un travail qui aurait également pu être exécuté dans les locaux de l'employeur est effectué par un salarié hors de ces locaux de façon volontaire en utilisant les technologies de l'information et de la communication </w:t>
      </w:r>
      <w:r w:rsidR="006B29A8" w:rsidRPr="00D902E9">
        <w:t xml:space="preserve">étant précisé que le télétravail régulier désigne, </w:t>
      </w:r>
      <w:r w:rsidR="005C7E61" w:rsidRPr="00D902E9">
        <w:t xml:space="preserve">conformément aux dispositions de la Charte Groupe relative au télétravail, </w:t>
      </w:r>
      <w:r w:rsidR="006B29A8" w:rsidRPr="00D902E9">
        <w:t>une modalité collective d’organisation du travail.</w:t>
      </w:r>
    </w:p>
    <w:p w14:paraId="6B55BBF3" w14:textId="7C37C9E3" w:rsidR="0056795C" w:rsidRPr="00D902E9" w:rsidRDefault="00B674DD" w:rsidP="00D902E9">
      <w:r w:rsidRPr="00D902E9">
        <w:t>Au sein de l’établissement</w:t>
      </w:r>
      <w:r w:rsidR="00DD70E2">
        <w:t xml:space="preserve"> DSI</w:t>
      </w:r>
      <w:r w:rsidR="0006707D" w:rsidRPr="00D902E9">
        <w:t xml:space="preserve">, </w:t>
      </w:r>
      <w:r w:rsidR="00D94B8B" w:rsidRPr="00D902E9">
        <w:t xml:space="preserve">le télétravail </w:t>
      </w:r>
      <w:r w:rsidR="00995519" w:rsidRPr="00D902E9">
        <w:t xml:space="preserve">régulier s’exercera </w:t>
      </w:r>
      <w:r w:rsidR="005452CB" w:rsidRPr="00D902E9">
        <w:t xml:space="preserve">un </w:t>
      </w:r>
      <w:r w:rsidR="0006707D" w:rsidRPr="00D902E9">
        <w:t xml:space="preserve">jour </w:t>
      </w:r>
      <w:r w:rsidR="005452CB" w:rsidRPr="00D902E9">
        <w:t xml:space="preserve">maximum </w:t>
      </w:r>
      <w:r w:rsidR="0006707D" w:rsidRPr="00D902E9">
        <w:t>par semaine</w:t>
      </w:r>
      <w:r w:rsidR="006B29A8" w:rsidRPr="00D902E9">
        <w:t xml:space="preserve">, </w:t>
      </w:r>
      <w:r w:rsidR="0006707D" w:rsidRPr="00D902E9">
        <w:t xml:space="preserve">au domicile </w:t>
      </w:r>
      <w:r w:rsidR="00A82BE6" w:rsidRPr="00D902E9">
        <w:t>du collaborateur télétravailleur</w:t>
      </w:r>
      <w:r w:rsidR="002F2D43" w:rsidRPr="00D902E9">
        <w:t>,</w:t>
      </w:r>
      <w:r w:rsidRPr="00D902E9">
        <w:t xml:space="preserve"> </w:t>
      </w:r>
      <w:r w:rsidR="0006707D" w:rsidRPr="00D902E9">
        <w:t>au moyen des outils informatique</w:t>
      </w:r>
      <w:r w:rsidR="003904CC" w:rsidRPr="00D902E9">
        <w:t>s</w:t>
      </w:r>
      <w:r w:rsidR="0006707D" w:rsidRPr="00D902E9">
        <w:t xml:space="preserve"> m</w:t>
      </w:r>
      <w:r w:rsidR="00A82BE6" w:rsidRPr="00D902E9">
        <w:t>is à sa disposition.</w:t>
      </w:r>
      <w:r w:rsidR="005452CB" w:rsidRPr="00D902E9">
        <w:t xml:space="preserve"> </w:t>
      </w:r>
      <w:r w:rsidR="00A82BE6" w:rsidRPr="00D902E9">
        <w:t>L</w:t>
      </w:r>
      <w:r w:rsidR="007342AA" w:rsidRPr="00D902E9">
        <w:t xml:space="preserve">es autres </w:t>
      </w:r>
      <w:r w:rsidR="00A82BE6" w:rsidRPr="00D902E9">
        <w:t>jours</w:t>
      </w:r>
      <w:r w:rsidR="0006707D" w:rsidRPr="00D902E9">
        <w:t xml:space="preserve"> </w:t>
      </w:r>
      <w:r w:rsidR="00A82BE6" w:rsidRPr="00D902E9">
        <w:t>s</w:t>
      </w:r>
      <w:r w:rsidR="002B76B5" w:rsidRPr="00D902E9">
        <w:t>er</w:t>
      </w:r>
      <w:r w:rsidR="00A82BE6" w:rsidRPr="00D902E9">
        <w:t>ont</w:t>
      </w:r>
      <w:r w:rsidR="0006707D" w:rsidRPr="00D902E9">
        <w:t xml:space="preserve"> réalisés sur le lieu de travail habituel.</w:t>
      </w:r>
      <w:r w:rsidR="005B6907" w:rsidRPr="00D902E9">
        <w:t xml:space="preserve"> </w:t>
      </w:r>
      <w:r w:rsidR="007342AA" w:rsidRPr="00D902E9">
        <w:t xml:space="preserve">Le choix du jour de la semaine consacré au télétravail sera </w:t>
      </w:r>
      <w:r w:rsidR="000410D2" w:rsidRPr="00D902E9">
        <w:t xml:space="preserve">effectué en fonction des besoins d’organisation du service et </w:t>
      </w:r>
      <w:r w:rsidR="007342AA" w:rsidRPr="00D902E9">
        <w:t xml:space="preserve">fixé dans l’avenant au contrat de travail </w:t>
      </w:r>
      <w:r w:rsidR="00A82BE6" w:rsidRPr="00D902E9">
        <w:t xml:space="preserve">du collaborateur </w:t>
      </w:r>
      <w:r w:rsidR="00964899" w:rsidRPr="00D902E9">
        <w:t xml:space="preserve">télétravailleur. </w:t>
      </w:r>
      <w:r w:rsidR="00477EB3" w:rsidRPr="00D902E9">
        <w:t>Chaque Directeur de Service pourra exclure un ou plusieurs jours d</w:t>
      </w:r>
      <w:r w:rsidR="00FB224F" w:rsidRPr="00D902E9">
        <w:t>e l’organisation en</w:t>
      </w:r>
      <w:r w:rsidR="00477EB3" w:rsidRPr="00D902E9">
        <w:t xml:space="preserve"> télétravail dans un souci de bon fonctionnement de son service. </w:t>
      </w:r>
    </w:p>
    <w:p w14:paraId="531839B6" w14:textId="49852A1F" w:rsidR="00022B22" w:rsidRDefault="007342AA" w:rsidP="00D902E9">
      <w:r w:rsidRPr="00D902E9">
        <w:t xml:space="preserve">Le domicile s’entend comme </w:t>
      </w:r>
      <w:r w:rsidR="005B6907" w:rsidRPr="00D902E9">
        <w:t>le</w:t>
      </w:r>
      <w:r w:rsidRPr="00D902E9">
        <w:t xml:space="preserve"> lieu de résidence habituelle e</w:t>
      </w:r>
      <w:r w:rsidR="008062C6" w:rsidRPr="00D902E9">
        <w:t xml:space="preserve">n France sous la responsabilité </w:t>
      </w:r>
      <w:r w:rsidRPr="00D902E9">
        <w:t xml:space="preserve">pleine et entière du télétravailleur. Le lieu du domicile est obligatoirement déclaré à la </w:t>
      </w:r>
      <w:r w:rsidR="005B6907" w:rsidRPr="00D902E9">
        <w:t xml:space="preserve">DRH lors de l’établissement de l’avenant au contrat de travail </w:t>
      </w:r>
      <w:r w:rsidRPr="00D902E9">
        <w:t xml:space="preserve">conclu entre le télétravailleur et </w:t>
      </w:r>
      <w:r w:rsidR="00E3322C" w:rsidRPr="00D902E9">
        <w:t>l’établissement</w:t>
      </w:r>
      <w:r w:rsidR="00E3322C">
        <w:t xml:space="preserve"> DSI</w:t>
      </w:r>
      <w:r w:rsidR="002E41F2" w:rsidRPr="00D902E9">
        <w:t>.</w:t>
      </w:r>
      <w:r w:rsidR="00DF2FF0" w:rsidRPr="00D902E9">
        <w:t xml:space="preserve"> </w:t>
      </w:r>
      <w:r w:rsidRPr="00D902E9">
        <w:t xml:space="preserve">Le salarié s’engage par ailleurs à informer </w:t>
      </w:r>
      <w:r w:rsidR="00117791" w:rsidRPr="00D902E9">
        <w:t xml:space="preserve">sa hiérarchie et </w:t>
      </w:r>
      <w:r w:rsidRPr="00D902E9">
        <w:t xml:space="preserve">la </w:t>
      </w:r>
      <w:r w:rsidR="005B6907" w:rsidRPr="00D902E9">
        <w:t xml:space="preserve">DRH </w:t>
      </w:r>
      <w:r w:rsidR="00995519" w:rsidRPr="00D902E9">
        <w:t>de</w:t>
      </w:r>
      <w:r w:rsidR="00C7227F" w:rsidRPr="00D902E9">
        <w:t xml:space="preserve"> </w:t>
      </w:r>
      <w:r w:rsidR="00E3322C" w:rsidRPr="00D902E9">
        <w:t>l’établissement</w:t>
      </w:r>
      <w:r w:rsidR="00E3322C">
        <w:t xml:space="preserve"> DSI</w:t>
      </w:r>
      <w:r w:rsidR="00E3322C" w:rsidRPr="00D902E9" w:rsidDel="00E3322C">
        <w:t xml:space="preserve"> </w:t>
      </w:r>
      <w:r w:rsidR="005B6907" w:rsidRPr="00D902E9">
        <w:t xml:space="preserve">de </w:t>
      </w:r>
      <w:r w:rsidRPr="00D902E9">
        <w:t>tout changement d’adresse impliquant un changement définitif de son domicile</w:t>
      </w:r>
      <w:r w:rsidR="00A74390" w:rsidRPr="00D902E9">
        <w:t xml:space="preserve"> dans le mois concerné</w:t>
      </w:r>
      <w:r w:rsidR="00373181" w:rsidRPr="00D902E9">
        <w:t>.</w:t>
      </w:r>
    </w:p>
    <w:p w14:paraId="636ACC43" w14:textId="54EBCC36" w:rsidR="00D902E9" w:rsidRPr="00D902E9" w:rsidRDefault="00D902E9" w:rsidP="00D902E9"/>
    <w:p w14:paraId="132B1BAE" w14:textId="77777777" w:rsidR="009E2F06" w:rsidRDefault="00D1584B" w:rsidP="00D902E9">
      <w:pPr>
        <w:pStyle w:val="Titre2"/>
      </w:pPr>
      <w:bookmarkStart w:id="9" w:name="_Toc532886375"/>
      <w:bookmarkStart w:id="10" w:name="_Toc532888190"/>
      <w:r w:rsidRPr="007463D6">
        <w:t>Article 2 -</w:t>
      </w:r>
      <w:r w:rsidR="00940E33" w:rsidRPr="007463D6">
        <w:t xml:space="preserve"> C</w:t>
      </w:r>
      <w:r w:rsidR="007342AA" w:rsidRPr="007463D6">
        <w:t>onditions d’</w:t>
      </w:r>
      <w:r w:rsidR="00234F32" w:rsidRPr="007463D6">
        <w:t>éligibilité</w:t>
      </w:r>
      <w:r w:rsidR="007342AA" w:rsidRPr="007463D6">
        <w:t xml:space="preserve"> au t</w:t>
      </w:r>
      <w:r w:rsidR="00234F32" w:rsidRPr="007463D6">
        <w:t>élé</w:t>
      </w:r>
      <w:r w:rsidR="000F1ED8" w:rsidRPr="007463D6">
        <w:t>t</w:t>
      </w:r>
      <w:r w:rsidR="007342AA" w:rsidRPr="007463D6">
        <w:t>ravail</w:t>
      </w:r>
      <w:r w:rsidR="00C7227F" w:rsidRPr="007463D6">
        <w:t xml:space="preserve"> r</w:t>
      </w:r>
      <w:r w:rsidR="00234F32" w:rsidRPr="007463D6">
        <w:t>é</w:t>
      </w:r>
      <w:r w:rsidR="00C7227F" w:rsidRPr="007463D6">
        <w:t>gulier</w:t>
      </w:r>
      <w:bookmarkEnd w:id="9"/>
      <w:bookmarkEnd w:id="10"/>
    </w:p>
    <w:p w14:paraId="4030B108" w14:textId="77777777" w:rsidR="008232FC" w:rsidRPr="008232FC" w:rsidRDefault="008232FC" w:rsidP="008232FC"/>
    <w:p w14:paraId="567926EA" w14:textId="77777777" w:rsidR="005C0B19" w:rsidRPr="007463D6" w:rsidRDefault="00B674DD" w:rsidP="00D902E9">
      <w:r w:rsidRPr="007463D6">
        <w:t>La Direction et les O</w:t>
      </w:r>
      <w:r w:rsidR="002F67F2" w:rsidRPr="007463D6">
        <w:t xml:space="preserve">rganisations </w:t>
      </w:r>
      <w:r w:rsidRPr="007463D6">
        <w:t>S</w:t>
      </w:r>
      <w:r w:rsidR="002F67F2" w:rsidRPr="007463D6">
        <w:t>yndicales représentatives réaffirment que l</w:t>
      </w:r>
      <w:r w:rsidR="008E29D0" w:rsidRPr="007463D6">
        <w:t xml:space="preserve">e </w:t>
      </w:r>
      <w:r w:rsidR="00580E7F" w:rsidRPr="007463D6">
        <w:t>supérieur hiérarchique</w:t>
      </w:r>
      <w:r w:rsidR="002F67F2" w:rsidRPr="007463D6">
        <w:t xml:space="preserve"> devra s’assurer</w:t>
      </w:r>
      <w:r w:rsidR="005C0B19" w:rsidRPr="007463D6">
        <w:t> :</w:t>
      </w:r>
    </w:p>
    <w:p w14:paraId="00D6B6AE" w14:textId="77777777" w:rsidR="00C7227F" w:rsidRPr="007463D6" w:rsidRDefault="00B86C08" w:rsidP="00D902E9">
      <w:pPr>
        <w:pStyle w:val="Paragraphedeliste"/>
        <w:numPr>
          <w:ilvl w:val="0"/>
          <w:numId w:val="10"/>
        </w:numPr>
      </w:pPr>
      <w:r>
        <w:t>D</w:t>
      </w:r>
      <w:r w:rsidR="00C7227F" w:rsidRPr="007463D6">
        <w:t>’</w:t>
      </w:r>
      <w:r w:rsidR="000410D2" w:rsidRPr="007463D6">
        <w:t>une</w:t>
      </w:r>
      <w:r w:rsidR="00C7227F" w:rsidRPr="007463D6">
        <w:t xml:space="preserve"> part, que la continuité et la qualité de service rendues aux clients ne sont pas impactées par ce mode d’org</w:t>
      </w:r>
      <w:r w:rsidR="00EC2397" w:rsidRPr="007463D6">
        <w:t>anisation du travail à domicile ;</w:t>
      </w:r>
    </w:p>
    <w:p w14:paraId="482AD241" w14:textId="77777777" w:rsidR="002F67F2" w:rsidRPr="007463D6" w:rsidRDefault="00B86C08" w:rsidP="00D902E9">
      <w:pPr>
        <w:pStyle w:val="Paragraphedeliste"/>
        <w:numPr>
          <w:ilvl w:val="0"/>
          <w:numId w:val="10"/>
        </w:numPr>
      </w:pPr>
      <w:r>
        <w:t>D</w:t>
      </w:r>
      <w:r w:rsidR="002F67F2" w:rsidRPr="007463D6">
        <w:t>’</w:t>
      </w:r>
      <w:r w:rsidR="00115757" w:rsidRPr="007463D6">
        <w:t>autre</w:t>
      </w:r>
      <w:r w:rsidR="002F67F2" w:rsidRPr="007463D6">
        <w:t xml:space="preserve"> part, que </w:t>
      </w:r>
      <w:r w:rsidR="008E29D0" w:rsidRPr="007463D6">
        <w:t xml:space="preserve">l’équité </w:t>
      </w:r>
      <w:r w:rsidR="002F67F2" w:rsidRPr="007463D6">
        <w:t>et la transparence sont garanties dans l’application des conditions d’éligibilité présentées ci-après</w:t>
      </w:r>
      <w:r w:rsidR="008F014F" w:rsidRPr="007463D6">
        <w:t>.</w:t>
      </w:r>
    </w:p>
    <w:p w14:paraId="2DD0E56D" w14:textId="77777777" w:rsidR="002F67F2" w:rsidRPr="007463D6" w:rsidRDefault="002F67F2" w:rsidP="00D902E9">
      <w:pPr>
        <w:pStyle w:val="Sansinterligne"/>
      </w:pPr>
    </w:p>
    <w:p w14:paraId="41FE556C" w14:textId="77777777" w:rsidR="009A26A0" w:rsidRPr="00022B22" w:rsidRDefault="001409A7" w:rsidP="00D902E9">
      <w:pPr>
        <w:pStyle w:val="Titre3"/>
      </w:pPr>
      <w:bookmarkStart w:id="11" w:name="_Toc532886376"/>
      <w:bookmarkStart w:id="12" w:name="_Toc532888191"/>
      <w:r w:rsidRPr="00022B22">
        <w:t xml:space="preserve">2.1 </w:t>
      </w:r>
      <w:r w:rsidR="009A26A0" w:rsidRPr="00022B22">
        <w:t xml:space="preserve">Conditions </w:t>
      </w:r>
      <w:r w:rsidR="00EE7908" w:rsidRPr="00022B22">
        <w:t xml:space="preserve">générales </w:t>
      </w:r>
      <w:r w:rsidR="009A26A0" w:rsidRPr="00022B22">
        <w:t>d’éligibilité au télétravail</w:t>
      </w:r>
      <w:r w:rsidR="00C7227F" w:rsidRPr="00022B22">
        <w:t xml:space="preserve"> r</w:t>
      </w:r>
      <w:r w:rsidR="00234F32" w:rsidRPr="00022B22">
        <w:t>é</w:t>
      </w:r>
      <w:r w:rsidR="00C7227F" w:rsidRPr="00022B22">
        <w:t>gulier</w:t>
      </w:r>
      <w:bookmarkEnd w:id="11"/>
      <w:bookmarkEnd w:id="12"/>
    </w:p>
    <w:p w14:paraId="551FED5F" w14:textId="51D74F8C" w:rsidR="005C0B19" w:rsidRPr="007463D6" w:rsidRDefault="005C0B19" w:rsidP="00D902E9">
      <w:pPr>
        <w:pStyle w:val="Sansinterligne"/>
      </w:pPr>
    </w:p>
    <w:p w14:paraId="44E226E2" w14:textId="77777777" w:rsidR="00420747" w:rsidRPr="007313A6" w:rsidRDefault="007342AA" w:rsidP="00420747">
      <w:pPr>
        <w:autoSpaceDE w:val="0"/>
        <w:autoSpaceDN w:val="0"/>
        <w:adjustRightInd w:val="0"/>
        <w:spacing w:after="0" w:line="240" w:lineRule="auto"/>
        <w:rPr>
          <w:rFonts w:ascii="Cambria" w:eastAsia="Times New Roman" w:hAnsi="Cambria" w:cs="Arial"/>
          <w:lang w:eastAsia="fr-FR"/>
        </w:rPr>
      </w:pPr>
      <w:r w:rsidRPr="007463D6">
        <w:t xml:space="preserve">Le présent accord s’applique </w:t>
      </w:r>
      <w:r w:rsidR="00652634" w:rsidRPr="007463D6">
        <w:t xml:space="preserve">à l’ensemble des collaborateurs </w:t>
      </w:r>
      <w:r w:rsidR="008E00C2" w:rsidRPr="007463D6">
        <w:t>en contrat à durée indéterminée</w:t>
      </w:r>
      <w:r w:rsidR="00011DF0" w:rsidRPr="007313A6">
        <w:t>,</w:t>
      </w:r>
      <w:r w:rsidR="008E00C2" w:rsidRPr="007313A6">
        <w:t> </w:t>
      </w:r>
      <w:r w:rsidR="009A26A0" w:rsidRPr="007313A6">
        <w:t>à temps plein</w:t>
      </w:r>
      <w:r w:rsidR="00420747" w:rsidRPr="007313A6">
        <w:t xml:space="preserve"> ainsi qu’aux collaborateurs </w:t>
      </w:r>
      <w:r w:rsidR="00420747" w:rsidRPr="007313A6">
        <w:rPr>
          <w:rFonts w:ascii="Cambria" w:eastAsia="Times New Roman" w:hAnsi="Cambria" w:cs="Arial"/>
          <w:lang w:eastAsia="fr-FR"/>
        </w:rPr>
        <w:t xml:space="preserve">à temps </w:t>
      </w:r>
      <w:r w:rsidR="00420747" w:rsidRPr="00EF24F1">
        <w:rPr>
          <w:rFonts w:eastAsia="Times New Roman" w:cstheme="minorHAnsi"/>
          <w:lang w:eastAsia="fr-FR"/>
        </w:rPr>
        <w:t>partiel (au minimum 80%).</w:t>
      </w:r>
    </w:p>
    <w:p w14:paraId="32FA8FFB" w14:textId="6D2618A5" w:rsidR="00652634" w:rsidRPr="007463D6" w:rsidRDefault="004852F8" w:rsidP="00D902E9">
      <w:r w:rsidRPr="007313A6">
        <w:t xml:space="preserve">Il conviendra également d’avoir acquis </w:t>
      </w:r>
      <w:r w:rsidR="00A74390" w:rsidRPr="007313A6">
        <w:t xml:space="preserve">une ancienneté minimale </w:t>
      </w:r>
      <w:r w:rsidR="008F014F" w:rsidRPr="007313A6">
        <w:t>d’un an</w:t>
      </w:r>
      <w:r w:rsidR="00B41BF7" w:rsidRPr="007313A6">
        <w:t xml:space="preserve"> </w:t>
      </w:r>
      <w:r w:rsidR="008F014F" w:rsidRPr="007313A6">
        <w:t>dans le poste occupé au se</w:t>
      </w:r>
      <w:r w:rsidR="00B674DD" w:rsidRPr="007313A6">
        <w:t>in</w:t>
      </w:r>
      <w:r w:rsidR="00B674DD" w:rsidRPr="007463D6">
        <w:t xml:space="preserve"> de l’établissement </w:t>
      </w:r>
      <w:r w:rsidR="00754FC3">
        <w:t>DSI.</w:t>
      </w:r>
    </w:p>
    <w:p w14:paraId="2E151172" w14:textId="77777777" w:rsidR="00371CDA" w:rsidRPr="007463D6" w:rsidRDefault="00BB73A4" w:rsidP="00D902E9">
      <w:r w:rsidRPr="007463D6">
        <w:t xml:space="preserve">Les apprentis, les collaborateurs en contrat de professionnalisation </w:t>
      </w:r>
      <w:r w:rsidR="00461B24" w:rsidRPr="007463D6">
        <w:t xml:space="preserve">et les stagiaires ne peuvent </w:t>
      </w:r>
      <w:r w:rsidR="00A82BE6" w:rsidRPr="007463D6">
        <w:t xml:space="preserve">pas </w:t>
      </w:r>
      <w:r w:rsidR="00461B24" w:rsidRPr="007463D6">
        <w:t>être éligibles au télétravail</w:t>
      </w:r>
      <w:r w:rsidR="00234F32" w:rsidRPr="007463D6">
        <w:t>,</w:t>
      </w:r>
      <w:r w:rsidR="00461B24" w:rsidRPr="007463D6">
        <w:t xml:space="preserve"> </w:t>
      </w:r>
      <w:r w:rsidR="00371CDA" w:rsidRPr="007463D6">
        <w:t xml:space="preserve">car il est indispensable pour leur apprentissage d’être </w:t>
      </w:r>
      <w:r w:rsidR="000704F4">
        <w:t xml:space="preserve">complètement </w:t>
      </w:r>
      <w:r w:rsidR="00371CDA" w:rsidRPr="007463D6">
        <w:t>intégré</w:t>
      </w:r>
      <w:r w:rsidR="00A82BE6" w:rsidRPr="007463D6">
        <w:t>s</w:t>
      </w:r>
      <w:r w:rsidR="00371CDA" w:rsidRPr="007463D6">
        <w:t xml:space="preserve"> dans leur communauté de travail.</w:t>
      </w:r>
    </w:p>
    <w:p w14:paraId="794B1C7A" w14:textId="77777777" w:rsidR="00D902E9" w:rsidRDefault="0092287C" w:rsidP="00EE374B">
      <w:r w:rsidRPr="007463D6">
        <w:t>Avant de se porter candidat, l</w:t>
      </w:r>
      <w:r w:rsidR="00041335" w:rsidRPr="007463D6">
        <w:t>e télétravailleur devra s’engager à disposer d’un espace de travail personnel compatible avec la pratique du télétravail.</w:t>
      </w:r>
      <w:r w:rsidRPr="007463D6">
        <w:t xml:space="preserve"> Il est de sa responsabilité d’avertir son manager si ces conditions n’étaient plus réunies.</w:t>
      </w:r>
    </w:p>
    <w:p w14:paraId="51905AE5" w14:textId="77777777" w:rsidR="00EE374B" w:rsidRPr="007463D6" w:rsidRDefault="00EE374B" w:rsidP="00EE374B"/>
    <w:p w14:paraId="29FBF6A8" w14:textId="77777777" w:rsidR="009A26A0" w:rsidRPr="004C5864" w:rsidRDefault="001409A7" w:rsidP="00D902E9">
      <w:pPr>
        <w:pStyle w:val="Titre3"/>
      </w:pPr>
      <w:bookmarkStart w:id="13" w:name="_Toc532886377"/>
      <w:bookmarkStart w:id="14" w:name="_Toc532888192"/>
      <w:r>
        <w:t xml:space="preserve">2.2 </w:t>
      </w:r>
      <w:r w:rsidR="009A26A0" w:rsidRPr="004C5864">
        <w:t>Conditions d’éligibilité de la fonction</w:t>
      </w:r>
      <w:r w:rsidR="00371CDA" w:rsidRPr="004C5864">
        <w:t xml:space="preserve"> ou du service</w:t>
      </w:r>
      <w:r w:rsidR="00A82BE6" w:rsidRPr="004C5864">
        <w:t xml:space="preserve"> exercé</w:t>
      </w:r>
      <w:r w:rsidR="009A26A0" w:rsidRPr="004C5864">
        <w:t xml:space="preserve"> au télétravail</w:t>
      </w:r>
      <w:bookmarkEnd w:id="13"/>
      <w:bookmarkEnd w:id="14"/>
    </w:p>
    <w:p w14:paraId="42326159" w14:textId="77777777" w:rsidR="00D220AD" w:rsidRPr="007463D6" w:rsidRDefault="00D220AD" w:rsidP="00D902E9"/>
    <w:p w14:paraId="21CD76C4" w14:textId="58DEA228" w:rsidR="00B674DD" w:rsidRPr="007463D6" w:rsidRDefault="009A26A0" w:rsidP="00D902E9">
      <w:r w:rsidRPr="007463D6">
        <w:t>Les salariés rempl</w:t>
      </w:r>
      <w:r w:rsidR="00CB67A0" w:rsidRPr="007463D6">
        <w:t>issant les conditions ci-dess</w:t>
      </w:r>
      <w:r w:rsidR="00105892">
        <w:t>o</w:t>
      </w:r>
      <w:r w:rsidR="00CB67A0" w:rsidRPr="007463D6">
        <w:t>us</w:t>
      </w:r>
      <w:r w:rsidRPr="007463D6">
        <w:t xml:space="preserve"> pourront se porter candidat</w:t>
      </w:r>
      <w:r w:rsidR="00234F32" w:rsidRPr="007463D6">
        <w:t>s</w:t>
      </w:r>
      <w:r w:rsidRPr="007463D6">
        <w:t xml:space="preserve"> au télétravail dès lors </w:t>
      </w:r>
      <w:r w:rsidR="003A66F3" w:rsidRPr="007463D6">
        <w:t xml:space="preserve">que leur fonction répond aux critères </w:t>
      </w:r>
      <w:r w:rsidR="00B674DD" w:rsidRPr="007463D6">
        <w:t xml:space="preserve">ci-après : </w:t>
      </w:r>
    </w:p>
    <w:p w14:paraId="6251F21A" w14:textId="77777777" w:rsidR="00D220AD" w:rsidRPr="007463D6" w:rsidRDefault="00B86C08" w:rsidP="00D902E9">
      <w:pPr>
        <w:pStyle w:val="Paragraphedeliste"/>
        <w:numPr>
          <w:ilvl w:val="0"/>
          <w:numId w:val="1"/>
        </w:numPr>
      </w:pPr>
      <w:r>
        <w:t>L</w:t>
      </w:r>
      <w:r w:rsidR="00D220AD" w:rsidRPr="007463D6">
        <w:t>’activité en télétravail ne doit pas gêner le fonctionnem</w:t>
      </w:r>
      <w:r w:rsidR="00C7227F" w:rsidRPr="007463D6">
        <w:t>ent de l’équipe de rattachement</w:t>
      </w:r>
      <w:r>
        <w:t> ;</w:t>
      </w:r>
    </w:p>
    <w:p w14:paraId="7CC1B26C" w14:textId="77777777" w:rsidR="003A66F3" w:rsidRPr="007463D6" w:rsidRDefault="00B86C08" w:rsidP="00D902E9">
      <w:pPr>
        <w:pStyle w:val="Paragraphedeliste"/>
        <w:numPr>
          <w:ilvl w:val="0"/>
          <w:numId w:val="1"/>
        </w:numPr>
      </w:pPr>
      <w:r>
        <w:t>L</w:t>
      </w:r>
      <w:r w:rsidR="009A26A0" w:rsidRPr="007463D6">
        <w:t>a configuration de l’équipe</w:t>
      </w:r>
      <w:r w:rsidR="002F5E92" w:rsidRPr="007463D6">
        <w:t xml:space="preserve"> permet le télétravail </w:t>
      </w:r>
      <w:r w:rsidR="00BB73A4" w:rsidRPr="007463D6">
        <w:t>au sein</w:t>
      </w:r>
      <w:r w:rsidR="002F5E92" w:rsidRPr="007463D6">
        <w:t xml:space="preserve"> de </w:t>
      </w:r>
      <w:r w:rsidR="00BB73A4" w:rsidRPr="007463D6">
        <w:t>celle-ci</w:t>
      </w:r>
      <w:r>
        <w:t> ;</w:t>
      </w:r>
      <w:r w:rsidR="00FC2848" w:rsidRPr="007463D6">
        <w:t xml:space="preserve"> </w:t>
      </w:r>
    </w:p>
    <w:p w14:paraId="2DE6D76A" w14:textId="77777777" w:rsidR="00FC2848" w:rsidRDefault="00B86C08" w:rsidP="00D902E9">
      <w:pPr>
        <w:pStyle w:val="Paragraphedeliste"/>
        <w:numPr>
          <w:ilvl w:val="0"/>
          <w:numId w:val="1"/>
        </w:numPr>
      </w:pPr>
      <w:r>
        <w:t>L</w:t>
      </w:r>
      <w:r w:rsidR="009A26A0" w:rsidRPr="007463D6">
        <w:t>’</w:t>
      </w:r>
      <w:r w:rsidR="00CB67A0" w:rsidRPr="007463D6">
        <w:t xml:space="preserve">activité </w:t>
      </w:r>
      <w:r w:rsidR="009A26A0" w:rsidRPr="007463D6">
        <w:t xml:space="preserve">ne requiert pas d’être exercée physiquement dans les locaux de </w:t>
      </w:r>
      <w:r w:rsidR="00CB67A0" w:rsidRPr="007463D6">
        <w:t xml:space="preserve">la </w:t>
      </w:r>
      <w:r w:rsidR="00DF2FF0" w:rsidRPr="007463D6">
        <w:t xml:space="preserve">Société </w:t>
      </w:r>
      <w:r w:rsidR="00B674DD" w:rsidRPr="007463D6">
        <w:t>Distribution Casino France</w:t>
      </w:r>
      <w:r w:rsidR="00DF2FF0" w:rsidRPr="007463D6">
        <w:t xml:space="preserve">, </w:t>
      </w:r>
      <w:r w:rsidR="009A26A0" w:rsidRPr="007463D6">
        <w:t>notamment en raison des</w:t>
      </w:r>
      <w:r w:rsidR="008062C6" w:rsidRPr="007463D6">
        <w:t xml:space="preserve"> </w:t>
      </w:r>
      <w:r w:rsidR="009A26A0" w:rsidRPr="007463D6">
        <w:t>équipements matériels</w:t>
      </w:r>
      <w:r w:rsidR="00371CDA" w:rsidRPr="007463D6">
        <w:t>, de</w:t>
      </w:r>
      <w:r w:rsidR="00A82BE6" w:rsidRPr="007463D6">
        <w:t>s</w:t>
      </w:r>
      <w:r w:rsidR="00371CDA" w:rsidRPr="007463D6">
        <w:t xml:space="preserve"> mesures de sécurité</w:t>
      </w:r>
      <w:r w:rsidR="00041335" w:rsidRPr="007463D6">
        <w:t xml:space="preserve"> informatique</w:t>
      </w:r>
      <w:r w:rsidR="009A26A0" w:rsidRPr="007463D6">
        <w:t xml:space="preserve">, ou </w:t>
      </w:r>
      <w:r w:rsidR="00A82BE6" w:rsidRPr="007463D6">
        <w:t xml:space="preserve">de </w:t>
      </w:r>
      <w:r w:rsidR="009A26A0" w:rsidRPr="007463D6">
        <w:t xml:space="preserve">la nécessité d’une présence </w:t>
      </w:r>
      <w:r w:rsidR="00AD4D18" w:rsidRPr="007463D6">
        <w:t>physiq</w:t>
      </w:r>
      <w:r w:rsidR="007D54B1">
        <w:t>ue, quelle qu’en soit la raison</w:t>
      </w:r>
      <w:r>
        <w:t> ;</w:t>
      </w:r>
    </w:p>
    <w:p w14:paraId="0BE2D2DB" w14:textId="77777777" w:rsidR="00477EB3" w:rsidRPr="007463D6" w:rsidRDefault="00B86C08" w:rsidP="00D902E9">
      <w:pPr>
        <w:pStyle w:val="Paragraphedeliste"/>
        <w:numPr>
          <w:ilvl w:val="0"/>
          <w:numId w:val="1"/>
        </w:numPr>
      </w:pPr>
      <w:r>
        <w:t>L</w:t>
      </w:r>
      <w:r w:rsidR="003D734D">
        <w:t>’activité en télétravail peut être source d’une meilleure productivité et d’un meilleur équilibre vie professionnelle-vie privée.</w:t>
      </w:r>
    </w:p>
    <w:p w14:paraId="17BFCAC4" w14:textId="3DCCCC00" w:rsidR="00420747" w:rsidRPr="00EE374B" w:rsidRDefault="00420747" w:rsidP="00EE374B">
      <w:pPr>
        <w:autoSpaceDE w:val="0"/>
        <w:autoSpaceDN w:val="0"/>
        <w:adjustRightInd w:val="0"/>
        <w:spacing w:after="0"/>
        <w:ind w:left="709"/>
        <w:contextualSpacing/>
      </w:pPr>
      <w:r w:rsidRPr="007313A6">
        <w:t>Aussi, a-t-il été décidé que certains services ou postes ne sont pas, par nature, éligibles au présent dispositif. Cette liste sera établie chaque année par les membres du Comité de Direction de l</w:t>
      </w:r>
      <w:r w:rsidR="003F50EE" w:rsidRPr="007313A6">
        <w:t xml:space="preserve">’établissement </w:t>
      </w:r>
      <w:r w:rsidRPr="007313A6">
        <w:t xml:space="preserve">DSI avant l’appel à candidatures. Elle sera réexaminée et mise à jour chaque année. Elle sera transmise pour information, par courriel, aux membres </w:t>
      </w:r>
      <w:r w:rsidR="007313A6" w:rsidRPr="007313A6">
        <w:t>du CSEE</w:t>
      </w:r>
      <w:r w:rsidRPr="007313A6">
        <w:t xml:space="preserve">. En outre, les managers devront informer les collaborateurs concernés. </w:t>
      </w:r>
    </w:p>
    <w:p w14:paraId="7B187337" w14:textId="77777777" w:rsidR="008F014F" w:rsidRPr="007463D6" w:rsidRDefault="008F014F" w:rsidP="00D902E9">
      <w:pPr>
        <w:pStyle w:val="Paragraphedeliste"/>
      </w:pPr>
    </w:p>
    <w:p w14:paraId="74090003" w14:textId="77777777" w:rsidR="00371CDA" w:rsidRPr="004C5864" w:rsidRDefault="001409A7" w:rsidP="00D902E9">
      <w:pPr>
        <w:pStyle w:val="Titre3"/>
      </w:pPr>
      <w:bookmarkStart w:id="15" w:name="_Toc532886378"/>
      <w:bookmarkStart w:id="16" w:name="_Toc532888193"/>
      <w:r w:rsidRPr="004C5864">
        <w:t xml:space="preserve">2.3 </w:t>
      </w:r>
      <w:r w:rsidR="00371CDA" w:rsidRPr="004C5864">
        <w:t>Conditions d’éligibilité du collaborateur au télétravail</w:t>
      </w:r>
      <w:bookmarkEnd w:id="15"/>
      <w:bookmarkEnd w:id="16"/>
    </w:p>
    <w:p w14:paraId="185256D2" w14:textId="77777777" w:rsidR="00371CDA" w:rsidRPr="007463D6" w:rsidRDefault="00371CDA" w:rsidP="00D902E9">
      <w:pPr>
        <w:pStyle w:val="Paragraphedeliste"/>
        <w:rPr>
          <w:highlight w:val="yellow"/>
        </w:rPr>
      </w:pPr>
    </w:p>
    <w:p w14:paraId="29D98723" w14:textId="77777777" w:rsidR="00621155" w:rsidRPr="007463D6" w:rsidRDefault="00371CDA" w:rsidP="00D902E9">
      <w:pPr>
        <w:pStyle w:val="Paragraphedeliste"/>
      </w:pPr>
      <w:r w:rsidRPr="007463D6">
        <w:t>L</w:t>
      </w:r>
      <w:r w:rsidR="00621155" w:rsidRPr="007463D6">
        <w:t>’examen de</w:t>
      </w:r>
      <w:r w:rsidR="0092287C" w:rsidRPr="007463D6">
        <w:t xml:space="preserve">s </w:t>
      </w:r>
      <w:r w:rsidR="00621155" w:rsidRPr="007463D6">
        <w:t>candidature</w:t>
      </w:r>
      <w:r w:rsidR="0092287C" w:rsidRPr="007463D6">
        <w:t>s</w:t>
      </w:r>
      <w:r w:rsidR="00621155" w:rsidRPr="007463D6">
        <w:t xml:space="preserve"> au télétravail</w:t>
      </w:r>
      <w:r w:rsidR="000704F4">
        <w:t>,</w:t>
      </w:r>
      <w:r w:rsidR="00621155" w:rsidRPr="007463D6">
        <w:t xml:space="preserve"> par le responsable hiérarchique</w:t>
      </w:r>
      <w:r w:rsidR="000704F4">
        <w:t>,</w:t>
      </w:r>
      <w:r w:rsidR="00621155" w:rsidRPr="007463D6">
        <w:t xml:space="preserve"> portera </w:t>
      </w:r>
      <w:r w:rsidR="0092287C" w:rsidRPr="007463D6">
        <w:t xml:space="preserve">notamment </w:t>
      </w:r>
      <w:r w:rsidR="00621155" w:rsidRPr="007463D6">
        <w:t>sur</w:t>
      </w:r>
      <w:r w:rsidR="00575BA4" w:rsidRPr="007463D6">
        <w:t> :</w:t>
      </w:r>
    </w:p>
    <w:p w14:paraId="1922232F" w14:textId="47F8F842" w:rsidR="005C0B19" w:rsidRPr="007463D6" w:rsidRDefault="005C0B19" w:rsidP="00D902E9">
      <w:pPr>
        <w:pStyle w:val="Paragraphedeliste"/>
      </w:pPr>
    </w:p>
    <w:p w14:paraId="4DAC70E7" w14:textId="77777777" w:rsidR="00621155" w:rsidRPr="007463D6" w:rsidRDefault="00B86C08" w:rsidP="00D902E9">
      <w:pPr>
        <w:pStyle w:val="Paragraphedeliste"/>
        <w:numPr>
          <w:ilvl w:val="0"/>
          <w:numId w:val="1"/>
        </w:numPr>
      </w:pPr>
      <w:r>
        <w:t>L</w:t>
      </w:r>
      <w:r w:rsidR="004852F8" w:rsidRPr="007463D6">
        <w:t>e</w:t>
      </w:r>
      <w:r w:rsidR="00EC2397" w:rsidRPr="007463D6">
        <w:t xml:space="preserve"> degré de maîtrise de son poste, notamment de </w:t>
      </w:r>
      <w:r>
        <w:t>l</w:t>
      </w:r>
      <w:r w:rsidR="00EC2397" w:rsidRPr="007463D6">
        <w:t>a connaissance de son environnement de travail, lui permettant de trouver des solutions adaptées à toute difficulté, ainsi que de sa capacité à réaliser l’ensemble de ses tâches et ce, dans les délais impartis</w:t>
      </w:r>
      <w:r>
        <w:t> ;</w:t>
      </w:r>
    </w:p>
    <w:p w14:paraId="6B743BE9" w14:textId="77777777" w:rsidR="003D734D" w:rsidRDefault="00B86C08" w:rsidP="00D902E9">
      <w:pPr>
        <w:pStyle w:val="Paragraphedeliste"/>
        <w:numPr>
          <w:ilvl w:val="0"/>
          <w:numId w:val="1"/>
        </w:numPr>
      </w:pPr>
      <w:r>
        <w:t>S</w:t>
      </w:r>
      <w:r w:rsidR="00EC2397" w:rsidRPr="007463D6">
        <w:t xml:space="preserve">on degré d’autonomie dans l’organisation de son travail et notamment de sa capacité à réaliser par lui-même ses tâches, à les planifier et à les </w:t>
      </w:r>
      <w:r w:rsidR="007D54B1">
        <w:t>prioriser</w:t>
      </w:r>
      <w:r>
        <w:t> ;</w:t>
      </w:r>
    </w:p>
    <w:p w14:paraId="491D42DB" w14:textId="59B0FBFE" w:rsidR="00006BD8" w:rsidRPr="007313A6" w:rsidRDefault="009A7705" w:rsidP="007313A6">
      <w:pPr>
        <w:autoSpaceDE w:val="0"/>
        <w:autoSpaceDN w:val="0"/>
        <w:adjustRightInd w:val="0"/>
        <w:spacing w:after="0"/>
        <w:ind w:left="709"/>
      </w:pPr>
      <w:r w:rsidRPr="007313A6">
        <w:t>Il est précisé que</w:t>
      </w:r>
      <w:r w:rsidR="00006BD8" w:rsidRPr="007313A6">
        <w:t xml:space="preserve"> la candidature d’un collaborateur « manager d’équipe » répondant aux critères précités ne pourra être retenue qu’après examen et validation finale du Comité de Direction de l’établissement DSI.</w:t>
      </w:r>
    </w:p>
    <w:p w14:paraId="029AB8CF" w14:textId="77777777" w:rsidR="007D54B1" w:rsidRPr="007463D6" w:rsidRDefault="007D54B1" w:rsidP="00D902E9">
      <w:pPr>
        <w:pStyle w:val="Paragraphedeliste"/>
      </w:pPr>
    </w:p>
    <w:p w14:paraId="04B08A3C" w14:textId="2F6F7335" w:rsidR="00F8292B" w:rsidRDefault="00575BA4" w:rsidP="007313A6">
      <w:pPr>
        <w:pStyle w:val="Paragraphedeliste"/>
        <w:ind w:left="709"/>
      </w:pPr>
      <w:r w:rsidRPr="007463D6">
        <w:t>En cas de candidatures multiples dans un même service, si le nombre des candidatures ne permet pas de toutes les retenir, le responsable hiérarchique les analysera afin de déterminer un ordre de priorité, avec la collaboration d</w:t>
      </w:r>
      <w:r w:rsidR="00234F32" w:rsidRPr="007463D6">
        <w:t>e la</w:t>
      </w:r>
      <w:r w:rsidRPr="007463D6">
        <w:t xml:space="preserve"> DRH auquel il est rattaché, afin d’assurer l’équité entre les </w:t>
      </w:r>
      <w:r w:rsidRPr="006F7DB3">
        <w:t>candidats. En tout état de cause, la candidature qui n’aurait pas été retenue l’année N dans le cas présent, alors que</w:t>
      </w:r>
      <w:r w:rsidR="008F6FB7" w:rsidRPr="006F7DB3">
        <w:t xml:space="preserve"> les conditions </w:t>
      </w:r>
      <w:r w:rsidRPr="006F7DB3">
        <w:t>requises étaient remplies, serait prioritaire l’année N+1</w:t>
      </w:r>
      <w:r w:rsidR="00D0588F" w:rsidRPr="006F7DB3">
        <w:t xml:space="preserve">, si </w:t>
      </w:r>
      <w:r w:rsidRPr="006F7DB3">
        <w:t>le collaborateur en fait à nouveau la demande et si, bien entendu, l’ensemble des conditions requises par cet accord</w:t>
      </w:r>
      <w:r w:rsidR="008F6FB7" w:rsidRPr="006F7DB3">
        <w:t xml:space="preserve"> sont </w:t>
      </w:r>
      <w:r w:rsidRPr="006F7DB3">
        <w:t>réuni</w:t>
      </w:r>
      <w:r w:rsidR="00F835A0" w:rsidRPr="006F7DB3">
        <w:t>s</w:t>
      </w:r>
      <w:r w:rsidRPr="006F7DB3">
        <w:t xml:space="preserve"> lors de l’appel à candidature</w:t>
      </w:r>
      <w:r w:rsidR="00234F32" w:rsidRPr="006F7DB3">
        <w:t>s</w:t>
      </w:r>
      <w:r w:rsidRPr="006F7DB3">
        <w:t>.</w:t>
      </w:r>
    </w:p>
    <w:p w14:paraId="25B1621B" w14:textId="77777777" w:rsidR="00373181" w:rsidRDefault="00373181" w:rsidP="007313A6">
      <w:pPr>
        <w:pStyle w:val="Paragraphedeliste"/>
        <w:ind w:left="709"/>
      </w:pPr>
    </w:p>
    <w:p w14:paraId="54F68EB7" w14:textId="77777777" w:rsidR="00E46A1A" w:rsidRDefault="00E46A1A" w:rsidP="007313A6">
      <w:pPr>
        <w:pStyle w:val="Paragraphedeliste"/>
        <w:ind w:left="709"/>
      </w:pPr>
    </w:p>
    <w:p w14:paraId="210D61DB" w14:textId="77777777" w:rsidR="00000C66" w:rsidRPr="007463D6" w:rsidRDefault="00000C66" w:rsidP="00D902E9">
      <w:pPr>
        <w:pStyle w:val="Titre2"/>
      </w:pPr>
      <w:bookmarkStart w:id="17" w:name="_Toc532886379"/>
      <w:bookmarkStart w:id="18" w:name="_Toc532888194"/>
      <w:r w:rsidRPr="007463D6">
        <w:t xml:space="preserve">Article 3 </w:t>
      </w:r>
      <w:r w:rsidR="00D1584B" w:rsidRPr="007463D6">
        <w:t>-</w:t>
      </w:r>
      <w:r w:rsidR="00940E33" w:rsidRPr="007463D6">
        <w:t xml:space="preserve"> C</w:t>
      </w:r>
      <w:r w:rsidR="00A778C3" w:rsidRPr="007463D6">
        <w:t>onditions</w:t>
      </w:r>
      <w:r w:rsidR="00940E33" w:rsidRPr="007463D6">
        <w:t xml:space="preserve"> </w:t>
      </w:r>
      <w:r w:rsidR="00A778C3" w:rsidRPr="007463D6">
        <w:t xml:space="preserve">de mise en </w:t>
      </w:r>
      <w:r w:rsidR="00132DA1" w:rsidRPr="007463D6">
        <w:t>œuvre</w:t>
      </w:r>
      <w:bookmarkEnd w:id="17"/>
      <w:bookmarkEnd w:id="18"/>
    </w:p>
    <w:p w14:paraId="196FDC69" w14:textId="77777777" w:rsidR="002E606B" w:rsidRPr="007463D6" w:rsidRDefault="002E606B" w:rsidP="00D902E9">
      <w:pPr>
        <w:pStyle w:val="Sansinterligne"/>
      </w:pPr>
    </w:p>
    <w:p w14:paraId="7367776A" w14:textId="77777777" w:rsidR="008062C6" w:rsidRPr="004C5864" w:rsidRDefault="00CB67A0" w:rsidP="00D902E9">
      <w:pPr>
        <w:pStyle w:val="Titre3"/>
      </w:pPr>
      <w:bookmarkStart w:id="19" w:name="_Toc532886380"/>
      <w:bookmarkStart w:id="20" w:name="_Toc532888195"/>
      <w:r w:rsidRPr="004C5864">
        <w:t>3.</w:t>
      </w:r>
      <w:r w:rsidR="008062C6" w:rsidRPr="004C5864">
        <w:t>1 Les modalités de validation de la candidature</w:t>
      </w:r>
      <w:bookmarkEnd w:id="19"/>
      <w:bookmarkEnd w:id="20"/>
    </w:p>
    <w:p w14:paraId="635D2474" w14:textId="77777777" w:rsidR="00197DE9" w:rsidRPr="007463D6" w:rsidRDefault="00197DE9" w:rsidP="00D902E9"/>
    <w:p w14:paraId="074C553A" w14:textId="074310BA" w:rsidR="00586D5B" w:rsidRPr="007463D6" w:rsidRDefault="008062C6" w:rsidP="00D902E9">
      <w:r w:rsidRPr="007463D6">
        <w:t xml:space="preserve">Le télétravail </w:t>
      </w:r>
      <w:r w:rsidR="00CB67A0" w:rsidRPr="007463D6">
        <w:t>repose obligatoirement sur le principe du volontariat</w:t>
      </w:r>
      <w:r w:rsidRPr="007463D6">
        <w:t>.</w:t>
      </w:r>
      <w:r w:rsidR="00586D5B" w:rsidRPr="007463D6">
        <w:t xml:space="preserve"> Il est subordonné à l’accord du responsable hiérarchique du salarié, qui apprécie la demande en fonction des conditions d’éligibilité ci-dessus</w:t>
      </w:r>
      <w:r w:rsidR="00421921" w:rsidRPr="007463D6">
        <w:t>.</w:t>
      </w:r>
    </w:p>
    <w:p w14:paraId="166E58CE" w14:textId="77777777" w:rsidR="008E00C2" w:rsidRPr="007463D6" w:rsidRDefault="00132DA1" w:rsidP="00D902E9">
      <w:r w:rsidRPr="006F7DB3">
        <w:t xml:space="preserve">Chaque année, </w:t>
      </w:r>
      <w:r w:rsidRPr="00EE374B">
        <w:t xml:space="preserve">après l’appel à </w:t>
      </w:r>
      <w:r w:rsidRPr="007313A6">
        <w:t>candidature,</w:t>
      </w:r>
      <w:r w:rsidR="000A0F96" w:rsidRPr="007313A6">
        <w:t xml:space="preserve"> </w:t>
      </w:r>
      <w:r w:rsidR="00B674DD" w:rsidRPr="007313A6">
        <w:t xml:space="preserve">en </w:t>
      </w:r>
      <w:r w:rsidR="00EE374B" w:rsidRPr="007313A6">
        <w:t>avril</w:t>
      </w:r>
      <w:r w:rsidRPr="007313A6">
        <w:t>, l</w:t>
      </w:r>
      <w:r w:rsidR="0035133C" w:rsidRPr="007313A6">
        <w:t>e</w:t>
      </w:r>
      <w:r w:rsidR="0035133C" w:rsidRPr="00EE374B">
        <w:t xml:space="preserve"> salarié souhaitant postuler pour exercer sa fonction dans le </w:t>
      </w:r>
      <w:r w:rsidR="0035133C" w:rsidRPr="007313A6">
        <w:t>cadre du présent dispositif sur le télétravail devra en informer par courri</w:t>
      </w:r>
      <w:r w:rsidR="00BB3850" w:rsidRPr="007313A6">
        <w:t xml:space="preserve">el son responsable hiérarchique, </w:t>
      </w:r>
      <w:r w:rsidR="00BB3850" w:rsidRPr="007313A6">
        <w:rPr>
          <w:rFonts w:cs="Arial"/>
        </w:rPr>
        <w:t>le membre du Comité de Direction auquel il est rattaché</w:t>
      </w:r>
      <w:r w:rsidR="00BB3850" w:rsidRPr="007313A6">
        <w:t xml:space="preserve"> </w:t>
      </w:r>
      <w:r w:rsidR="0035133C" w:rsidRPr="007313A6">
        <w:t>et la DRH</w:t>
      </w:r>
      <w:r w:rsidR="006304AC" w:rsidRPr="007313A6">
        <w:t>.</w:t>
      </w:r>
      <w:r w:rsidR="008062C6" w:rsidRPr="007313A6">
        <w:t xml:space="preserve"> </w:t>
      </w:r>
      <w:r w:rsidR="00C85653" w:rsidRPr="007313A6">
        <w:t xml:space="preserve">Cette demande portera sur la durée maximale d’un an, </w:t>
      </w:r>
      <w:r w:rsidR="00B674DD" w:rsidRPr="007313A6">
        <w:t>à partir du mois de j</w:t>
      </w:r>
      <w:r w:rsidR="00754FC3" w:rsidRPr="007313A6">
        <w:t>uin</w:t>
      </w:r>
      <w:r w:rsidR="006B006E" w:rsidRPr="007313A6">
        <w:t xml:space="preserve">, </w:t>
      </w:r>
      <w:r w:rsidR="00C85653" w:rsidRPr="007313A6">
        <w:t>indiquée</w:t>
      </w:r>
      <w:r w:rsidR="00C85653" w:rsidRPr="00EE374B">
        <w:t xml:space="preserve"> dans le présent </w:t>
      </w:r>
      <w:r w:rsidR="00C85653" w:rsidRPr="006F7DB3">
        <w:t>accord.</w:t>
      </w:r>
    </w:p>
    <w:p w14:paraId="22519C4C" w14:textId="77777777" w:rsidR="00C800DD" w:rsidRPr="007463D6" w:rsidRDefault="00627CE4" w:rsidP="00D902E9">
      <w:r w:rsidRPr="007463D6">
        <w:t>L</w:t>
      </w:r>
      <w:r w:rsidR="006304AC" w:rsidRPr="007463D6">
        <w:t>es demandes adressées seront analysées par chaque responsable hiérarchique concerné selon</w:t>
      </w:r>
      <w:r w:rsidR="00836F25" w:rsidRPr="007463D6">
        <w:t xml:space="preserve"> </w:t>
      </w:r>
      <w:r w:rsidR="006304AC" w:rsidRPr="007463D6">
        <w:t>les conditions et critères précités</w:t>
      </w:r>
      <w:r w:rsidR="00836F25" w:rsidRPr="007463D6">
        <w:t>.</w:t>
      </w:r>
      <w:r w:rsidR="00C800DD" w:rsidRPr="007463D6">
        <w:t xml:space="preserve"> </w:t>
      </w:r>
      <w:r w:rsidR="00586D5B" w:rsidRPr="007463D6">
        <w:t>Le responsable hiérarchique concerné rendra ensuite compte à la DRH des décisions prises concernant les demandes de télétravail, qui s’assurera le cas échéant que les refus de télétravail sont motivés par l’applicati</w:t>
      </w:r>
      <w:r w:rsidR="00373181">
        <w:t xml:space="preserve">on des critères d’éligibilité. </w:t>
      </w:r>
    </w:p>
    <w:p w14:paraId="2FE5D1B3" w14:textId="77777777" w:rsidR="00000EEC" w:rsidRPr="00373181" w:rsidRDefault="00586D5B" w:rsidP="00D902E9">
      <w:pPr>
        <w:rPr>
          <w:highlight w:val="yellow"/>
        </w:rPr>
      </w:pPr>
      <w:r w:rsidRPr="007463D6">
        <w:t xml:space="preserve">Le responsable hiérarchique et la DRH seront garants que l’équité et la transparence sont </w:t>
      </w:r>
      <w:r w:rsidR="009906A2" w:rsidRPr="007463D6">
        <w:t xml:space="preserve">respectées </w:t>
      </w:r>
      <w:r w:rsidRPr="007463D6">
        <w:t>dans l’application des conditions d’éligibilité présentées ci-après</w:t>
      </w:r>
      <w:r w:rsidR="009906A2" w:rsidRPr="007463D6">
        <w:t xml:space="preserve">. </w:t>
      </w:r>
    </w:p>
    <w:p w14:paraId="1EAA7B73" w14:textId="77777777" w:rsidR="00CB67A0" w:rsidRPr="007463D6" w:rsidRDefault="00A34B56" w:rsidP="00D902E9">
      <w:r w:rsidRPr="007463D6">
        <w:t xml:space="preserve">Un </w:t>
      </w:r>
      <w:r w:rsidR="008062C6" w:rsidRPr="007463D6">
        <w:t xml:space="preserve"> entretien </w:t>
      </w:r>
      <w:r w:rsidR="00823C30" w:rsidRPr="007463D6">
        <w:t xml:space="preserve">sera systématiquement organisé pour tout candidat avec son </w:t>
      </w:r>
      <w:r w:rsidR="008062C6" w:rsidRPr="007463D6">
        <w:t>responsable hiérarchique</w:t>
      </w:r>
      <w:r w:rsidR="00786291" w:rsidRPr="007463D6">
        <w:t>.</w:t>
      </w:r>
      <w:r w:rsidR="005A11D1" w:rsidRPr="007463D6">
        <w:t xml:space="preserve"> </w:t>
      </w:r>
      <w:r w:rsidR="00823C30" w:rsidRPr="007463D6">
        <w:t xml:space="preserve">L’objectif de cet entretien sera d’apporter une réponse argumentée qu’elle soit positive ou négative à chacun. </w:t>
      </w:r>
      <w:r w:rsidR="00F63097" w:rsidRPr="007463D6">
        <w:t xml:space="preserve">Le </w:t>
      </w:r>
      <w:r w:rsidR="00823C30" w:rsidRPr="007463D6">
        <w:t xml:space="preserve">responsable hiérarchique en </w:t>
      </w:r>
      <w:r w:rsidR="00F63097" w:rsidRPr="007463D6">
        <w:t xml:space="preserve">informera également par courriel </w:t>
      </w:r>
      <w:r w:rsidR="00823C30" w:rsidRPr="007463D6">
        <w:t>la DRH</w:t>
      </w:r>
      <w:r w:rsidR="00F63097" w:rsidRPr="007463D6">
        <w:t>. La DRH adressera alors une réponse formalisée par courriel à l’ensemble</w:t>
      </w:r>
      <w:r w:rsidR="00AD4D18" w:rsidRPr="007463D6">
        <w:t xml:space="preserve"> des candidats</w:t>
      </w:r>
      <w:r w:rsidR="00823C30" w:rsidRPr="007463D6">
        <w:t>.</w:t>
      </w:r>
    </w:p>
    <w:p w14:paraId="0D4E9FD4" w14:textId="77777777" w:rsidR="00EE480B" w:rsidRPr="007463D6" w:rsidRDefault="005A11D1" w:rsidP="00D902E9">
      <w:r w:rsidRPr="007463D6">
        <w:t>E</w:t>
      </w:r>
      <w:r w:rsidR="008062C6" w:rsidRPr="007463D6">
        <w:t>n cas d’acceptation</w:t>
      </w:r>
      <w:r w:rsidRPr="007463D6">
        <w:t>,</w:t>
      </w:r>
      <w:r w:rsidR="008062C6" w:rsidRPr="007463D6">
        <w:t xml:space="preserve"> le responsable hiérarchique fournit au salarié l’ensemble des</w:t>
      </w:r>
      <w:r w:rsidR="000271E6" w:rsidRPr="007463D6">
        <w:t xml:space="preserve"> </w:t>
      </w:r>
      <w:r w:rsidR="008062C6" w:rsidRPr="007463D6">
        <w:t>informations relatives aux conditions d’exécution du télétravai</w:t>
      </w:r>
      <w:r w:rsidR="00000EEC" w:rsidRPr="007463D6">
        <w:t xml:space="preserve">l, </w:t>
      </w:r>
      <w:r w:rsidR="00823C30" w:rsidRPr="007463D6">
        <w:t xml:space="preserve">notamment </w:t>
      </w:r>
      <w:r w:rsidR="00DF1FF1" w:rsidRPr="007463D6">
        <w:t xml:space="preserve">le </w:t>
      </w:r>
      <w:r w:rsidR="00823C30" w:rsidRPr="007463D6">
        <w:t>jour</w:t>
      </w:r>
      <w:r w:rsidR="00C337FE">
        <w:t xml:space="preserve"> retenu</w:t>
      </w:r>
      <w:r w:rsidR="00000EEC" w:rsidRPr="007463D6">
        <w:t xml:space="preserve">. </w:t>
      </w:r>
      <w:r w:rsidR="00C337FE">
        <w:t xml:space="preserve">Ce dernier </w:t>
      </w:r>
      <w:r w:rsidR="00000EEC" w:rsidRPr="007463D6">
        <w:t>sera fixé par le responsable hiérarchique prioritairement en fonction des besoins d’organisation du service, et en tenant compte autant que possible des souhaits exprimés par le collaborateur concerné.</w:t>
      </w:r>
      <w:r w:rsidR="00C337FE">
        <w:t xml:space="preserve"> </w:t>
      </w:r>
    </w:p>
    <w:p w14:paraId="1C565292" w14:textId="77777777" w:rsidR="005C0B19" w:rsidRPr="007463D6" w:rsidRDefault="00EE480B" w:rsidP="00D902E9">
      <w:r w:rsidRPr="007463D6">
        <w:t>Les principaux motifs de refus de passage en télétravail p</w:t>
      </w:r>
      <w:r w:rsidR="005A11D1" w:rsidRPr="007463D6">
        <w:t>ourront</w:t>
      </w:r>
      <w:r w:rsidR="00373181">
        <w:t xml:space="preserve"> être :</w:t>
      </w:r>
    </w:p>
    <w:p w14:paraId="36AA7A9D" w14:textId="77777777" w:rsidR="00786291" w:rsidRPr="007463D6" w:rsidRDefault="00B86C08" w:rsidP="00D902E9">
      <w:pPr>
        <w:pStyle w:val="Paragraphedeliste"/>
        <w:numPr>
          <w:ilvl w:val="0"/>
          <w:numId w:val="2"/>
        </w:numPr>
      </w:pPr>
      <w:r>
        <w:t>L</w:t>
      </w:r>
      <w:r w:rsidR="00EE480B" w:rsidRPr="007463D6">
        <w:t>e non-respect des conditions d’éligibilité</w:t>
      </w:r>
      <w:r>
        <w:t> ;</w:t>
      </w:r>
    </w:p>
    <w:p w14:paraId="452EAF21" w14:textId="77777777" w:rsidR="00C06623" w:rsidRDefault="00B86C08" w:rsidP="00D902E9">
      <w:pPr>
        <w:pStyle w:val="Paragraphedeliste"/>
        <w:numPr>
          <w:ilvl w:val="0"/>
          <w:numId w:val="2"/>
        </w:numPr>
      </w:pPr>
      <w:r>
        <w:t>L</w:t>
      </w:r>
      <w:r w:rsidR="00C06623" w:rsidRPr="007463D6">
        <w:t xml:space="preserve">es candidatures transmises </w:t>
      </w:r>
      <w:r w:rsidR="000E37EE" w:rsidRPr="007463D6">
        <w:t>en dehors de la période définie à cet effet.</w:t>
      </w:r>
    </w:p>
    <w:p w14:paraId="2B015384" w14:textId="77777777" w:rsidR="00F8292B" w:rsidRPr="007463D6" w:rsidRDefault="00F8292B" w:rsidP="00D902E9">
      <w:pPr>
        <w:pStyle w:val="Paragraphedeliste"/>
      </w:pPr>
    </w:p>
    <w:p w14:paraId="6CEDB037" w14:textId="77777777" w:rsidR="00A778C3" w:rsidRPr="007463D6" w:rsidRDefault="005A11D1" w:rsidP="00D902E9">
      <w:pPr>
        <w:pStyle w:val="Titre3"/>
      </w:pPr>
      <w:bookmarkStart w:id="21" w:name="_Toc532886381"/>
      <w:bookmarkStart w:id="22" w:name="_Toc532888196"/>
      <w:r w:rsidRPr="007463D6">
        <w:t>3.</w:t>
      </w:r>
      <w:r w:rsidR="00C85653" w:rsidRPr="007463D6">
        <w:t>2</w:t>
      </w:r>
      <w:r w:rsidRPr="007463D6">
        <w:t xml:space="preserve"> </w:t>
      </w:r>
      <w:r w:rsidR="00A778C3" w:rsidRPr="007463D6">
        <w:t>Avenant au contrat de travail</w:t>
      </w:r>
      <w:bookmarkEnd w:id="21"/>
      <w:bookmarkEnd w:id="22"/>
    </w:p>
    <w:p w14:paraId="758E0FD5" w14:textId="77777777" w:rsidR="00105826" w:rsidRPr="007463D6" w:rsidRDefault="00105826" w:rsidP="00D902E9"/>
    <w:p w14:paraId="66026745" w14:textId="77777777" w:rsidR="006639F1" w:rsidRPr="007463D6" w:rsidRDefault="00EE480B" w:rsidP="00D902E9">
      <w:r w:rsidRPr="007463D6">
        <w:t xml:space="preserve">L'organisation de l'activité en télétravail à domicile </w:t>
      </w:r>
      <w:r w:rsidR="00B86C08">
        <w:t>est</w:t>
      </w:r>
      <w:r w:rsidRPr="007463D6">
        <w:t xml:space="preserve"> prévue par avenant au contrat de</w:t>
      </w:r>
      <w:r w:rsidR="000271E6" w:rsidRPr="007463D6">
        <w:t xml:space="preserve"> </w:t>
      </w:r>
      <w:r w:rsidRPr="007463D6">
        <w:t xml:space="preserve">travail. </w:t>
      </w:r>
    </w:p>
    <w:p w14:paraId="0540BCE1" w14:textId="77777777" w:rsidR="005C0B19" w:rsidRPr="007463D6" w:rsidRDefault="00EE480B" w:rsidP="00D902E9">
      <w:r w:rsidRPr="007463D6">
        <w:t xml:space="preserve">L'avenant au contrat de travail </w:t>
      </w:r>
      <w:r w:rsidR="00482B94" w:rsidRPr="007463D6">
        <w:t xml:space="preserve">est </w:t>
      </w:r>
      <w:r w:rsidR="00786291" w:rsidRPr="007463D6">
        <w:t xml:space="preserve">d’une </w:t>
      </w:r>
      <w:r w:rsidR="007F4992" w:rsidRPr="007463D6">
        <w:t xml:space="preserve">durée </w:t>
      </w:r>
      <w:r w:rsidR="00786291" w:rsidRPr="007463D6">
        <w:t xml:space="preserve">d’un an maximum. </w:t>
      </w:r>
      <w:r w:rsidR="00DF1FF1" w:rsidRPr="007463D6">
        <w:t>Il</w:t>
      </w:r>
      <w:r w:rsidR="00780BF9" w:rsidRPr="007463D6">
        <w:t xml:space="preserve"> </w:t>
      </w:r>
      <w:r w:rsidRPr="007463D6">
        <w:t>précise notamment les modalités d'exécution du télétravail à domicile :</w:t>
      </w:r>
    </w:p>
    <w:p w14:paraId="1F9AAC0D" w14:textId="77777777" w:rsidR="003C4056" w:rsidRPr="003C4056" w:rsidRDefault="003C4056" w:rsidP="00D902E9">
      <w:pPr>
        <w:pStyle w:val="Paragraphedeliste"/>
        <w:numPr>
          <w:ilvl w:val="0"/>
          <w:numId w:val="3"/>
        </w:numPr>
      </w:pPr>
      <w:r w:rsidRPr="003C4056">
        <w:t>L’adresse du salarié ;</w:t>
      </w:r>
    </w:p>
    <w:p w14:paraId="0BC73DED" w14:textId="77777777" w:rsidR="003C4056" w:rsidRPr="003C4056" w:rsidRDefault="003C4056" w:rsidP="00D902E9">
      <w:pPr>
        <w:pStyle w:val="Paragraphedeliste"/>
        <w:numPr>
          <w:ilvl w:val="0"/>
          <w:numId w:val="3"/>
        </w:numPr>
      </w:pPr>
      <w:r w:rsidRPr="003C4056">
        <w:t>La fonction occupée ;</w:t>
      </w:r>
    </w:p>
    <w:p w14:paraId="759F6058" w14:textId="77777777" w:rsidR="003C4056" w:rsidRPr="003C4056" w:rsidRDefault="003C4056" w:rsidP="00D902E9">
      <w:pPr>
        <w:pStyle w:val="Paragraphedeliste"/>
        <w:numPr>
          <w:ilvl w:val="0"/>
          <w:numId w:val="3"/>
        </w:numPr>
      </w:pPr>
      <w:r w:rsidRPr="003C4056">
        <w:lastRenderedPageBreak/>
        <w:t>La durée de l’avenant ;</w:t>
      </w:r>
    </w:p>
    <w:p w14:paraId="7E401975" w14:textId="77777777" w:rsidR="003C4056" w:rsidRPr="003C4056" w:rsidRDefault="003C4056" w:rsidP="00D902E9">
      <w:pPr>
        <w:pStyle w:val="Paragraphedeliste"/>
        <w:numPr>
          <w:ilvl w:val="0"/>
          <w:numId w:val="3"/>
        </w:numPr>
      </w:pPr>
      <w:r w:rsidRPr="003C4056">
        <w:t>Les modalités du/des jour(s) télétravaillé(s) ;</w:t>
      </w:r>
    </w:p>
    <w:p w14:paraId="7C1DA9B1" w14:textId="77777777" w:rsidR="003C4056" w:rsidRPr="003C4056" w:rsidRDefault="003C4056" w:rsidP="00D902E9">
      <w:pPr>
        <w:pStyle w:val="Paragraphedeliste"/>
        <w:numPr>
          <w:ilvl w:val="0"/>
          <w:numId w:val="3"/>
        </w:numPr>
      </w:pPr>
      <w:r w:rsidRPr="003C4056">
        <w:t>Les plages horaires pour être joignable ;</w:t>
      </w:r>
    </w:p>
    <w:p w14:paraId="1903E5D0" w14:textId="77777777" w:rsidR="003C4056" w:rsidRPr="003C4056" w:rsidRDefault="003C4056" w:rsidP="00D902E9">
      <w:pPr>
        <w:pStyle w:val="Paragraphedeliste"/>
        <w:numPr>
          <w:ilvl w:val="0"/>
          <w:numId w:val="3"/>
        </w:numPr>
      </w:pPr>
      <w:r w:rsidRPr="003C4056">
        <w:t>L’équipement mis à disposition ;</w:t>
      </w:r>
    </w:p>
    <w:p w14:paraId="45940F70" w14:textId="77777777" w:rsidR="003C4056" w:rsidRPr="003C4056" w:rsidRDefault="003C4056" w:rsidP="00D902E9">
      <w:pPr>
        <w:pStyle w:val="Paragraphedeliste"/>
        <w:numPr>
          <w:ilvl w:val="0"/>
          <w:numId w:val="3"/>
        </w:numPr>
      </w:pPr>
      <w:r w:rsidRPr="003C4056">
        <w:t>La période d’adaptation ;</w:t>
      </w:r>
    </w:p>
    <w:p w14:paraId="5C212256" w14:textId="77777777" w:rsidR="003C4056" w:rsidRPr="003C4056" w:rsidRDefault="003C4056" w:rsidP="00D902E9">
      <w:pPr>
        <w:pStyle w:val="Paragraphedeliste"/>
        <w:numPr>
          <w:ilvl w:val="0"/>
          <w:numId w:val="3"/>
        </w:numPr>
      </w:pPr>
      <w:r w:rsidRPr="003C4056">
        <w:t>Les conditions de réversibilité du télétravail à domicile.</w:t>
      </w:r>
    </w:p>
    <w:p w14:paraId="7E2F3799" w14:textId="77777777" w:rsidR="005452CB" w:rsidRPr="007463D6" w:rsidRDefault="003C4056" w:rsidP="00D902E9">
      <w:pPr>
        <w:rPr>
          <w:highlight w:val="yellow"/>
        </w:rPr>
      </w:pPr>
      <w:r w:rsidRPr="007463D6">
        <w:t>Sont annexées à l’avenant au contrat de travail l’attestation d’assurance ainsi que l’attestation sur l’honneur portant sur la conformité des installations électriques et téléphoniques au domicile ainsi que sur la compatibilité de la connexion Internet (débit internet suffisant) au télétravail.</w:t>
      </w:r>
    </w:p>
    <w:p w14:paraId="7474DA2C" w14:textId="77777777" w:rsidR="00C32C94" w:rsidRPr="007463D6" w:rsidRDefault="005452CB" w:rsidP="00D902E9">
      <w:pPr>
        <w:rPr>
          <w:b/>
        </w:rPr>
      </w:pPr>
      <w:r w:rsidRPr="007463D6">
        <w:t>A l’issue de la période déterminée</w:t>
      </w:r>
      <w:r w:rsidR="00482B94" w:rsidRPr="007463D6">
        <w:t xml:space="preserve"> dans l’avenant au contrat de travail</w:t>
      </w:r>
      <w:r w:rsidRPr="007463D6">
        <w:t xml:space="preserve"> le télétravailleur effectuer</w:t>
      </w:r>
      <w:r w:rsidR="00C06623" w:rsidRPr="007463D6">
        <w:t>a</w:t>
      </w:r>
      <w:r w:rsidRPr="007463D6">
        <w:t xml:space="preserve"> à nouveau </w:t>
      </w:r>
      <w:r w:rsidR="00E24A6C" w:rsidRPr="007463D6">
        <w:t xml:space="preserve">l’intégralité de </w:t>
      </w:r>
      <w:r w:rsidRPr="007463D6">
        <w:t xml:space="preserve">son activité dans les locaux de la </w:t>
      </w:r>
      <w:r w:rsidR="00B80A99" w:rsidRPr="007463D6">
        <w:t xml:space="preserve">Société </w:t>
      </w:r>
      <w:r w:rsidR="003C4056" w:rsidRPr="007463D6">
        <w:t>Distribution Casino France</w:t>
      </w:r>
      <w:r w:rsidR="00D93D99" w:rsidRPr="007463D6">
        <w:t>.</w:t>
      </w:r>
    </w:p>
    <w:p w14:paraId="41E2B1E9" w14:textId="77777777" w:rsidR="00197DE9" w:rsidRPr="007463D6" w:rsidRDefault="00197DE9" w:rsidP="00D902E9">
      <w:pPr>
        <w:pStyle w:val="Sansinterligne"/>
      </w:pPr>
    </w:p>
    <w:p w14:paraId="30D00F16" w14:textId="77777777" w:rsidR="00014480" w:rsidRPr="007463D6" w:rsidRDefault="000271E6" w:rsidP="00D902E9">
      <w:pPr>
        <w:pStyle w:val="Titre3"/>
      </w:pPr>
      <w:bookmarkStart w:id="23" w:name="_Toc532886382"/>
      <w:bookmarkStart w:id="24" w:name="_Toc532888197"/>
      <w:r w:rsidRPr="007463D6">
        <w:t>3.</w:t>
      </w:r>
      <w:r w:rsidR="00C85653" w:rsidRPr="007463D6">
        <w:t>3</w:t>
      </w:r>
      <w:r w:rsidRPr="007463D6">
        <w:t xml:space="preserve"> Période</w:t>
      </w:r>
      <w:r w:rsidR="00014480" w:rsidRPr="007463D6">
        <w:t xml:space="preserve"> d’adaptation</w:t>
      </w:r>
      <w:r w:rsidRPr="007463D6">
        <w:t xml:space="preserve"> au télétravail</w:t>
      </w:r>
      <w:bookmarkEnd w:id="23"/>
      <w:bookmarkEnd w:id="24"/>
    </w:p>
    <w:p w14:paraId="38DF97DC" w14:textId="77777777" w:rsidR="00105826" w:rsidRPr="007463D6" w:rsidRDefault="00105826" w:rsidP="00D902E9"/>
    <w:p w14:paraId="74D196BB" w14:textId="77777777" w:rsidR="00014480" w:rsidRPr="007463D6" w:rsidRDefault="00014480" w:rsidP="00D902E9">
      <w:r w:rsidRPr="007463D6">
        <w:t xml:space="preserve">Afin de permettre à chacune des parties d’expérimenter le dispositif et de s’assurer qu’il répond bien </w:t>
      </w:r>
      <w:r w:rsidR="000271E6" w:rsidRPr="007463D6">
        <w:t>à leurs</w:t>
      </w:r>
      <w:r w:rsidRPr="007463D6">
        <w:t xml:space="preserve"> attentes </w:t>
      </w:r>
      <w:r w:rsidR="000271E6" w:rsidRPr="007463D6">
        <w:t>respectives</w:t>
      </w:r>
      <w:r w:rsidRPr="007463D6">
        <w:t>, une période d’adaptation au télétravail est incluse dans l’avenant au contrat de travail.</w:t>
      </w:r>
    </w:p>
    <w:p w14:paraId="27906C89" w14:textId="77777777" w:rsidR="000271E6" w:rsidRPr="007463D6" w:rsidRDefault="00014480" w:rsidP="00D902E9">
      <w:r w:rsidRPr="007463D6">
        <w:t>Dès la signature de l’avenant au contrat de travail, l</w:t>
      </w:r>
      <w:r w:rsidR="000271E6" w:rsidRPr="007463D6">
        <w:t>e télétravailleur</w:t>
      </w:r>
      <w:r w:rsidRPr="007463D6">
        <w:t xml:space="preserve"> </w:t>
      </w:r>
      <w:r w:rsidR="000271E6" w:rsidRPr="007463D6">
        <w:t>et</w:t>
      </w:r>
      <w:r w:rsidRPr="007463D6">
        <w:t xml:space="preserve"> le </w:t>
      </w:r>
      <w:r w:rsidR="00B163B3" w:rsidRPr="007463D6">
        <w:t xml:space="preserve">responsable hiérarchique </w:t>
      </w:r>
      <w:r w:rsidRPr="007463D6">
        <w:t xml:space="preserve">bénéficieront d’une période d’adaptation </w:t>
      </w:r>
      <w:r w:rsidR="000271E6" w:rsidRPr="007463D6">
        <w:t>d’</w:t>
      </w:r>
      <w:r w:rsidRPr="007463D6">
        <w:t xml:space="preserve">une durée </w:t>
      </w:r>
      <w:r w:rsidR="006639F1" w:rsidRPr="007463D6">
        <w:t xml:space="preserve">de </w:t>
      </w:r>
      <w:r w:rsidR="00C85653" w:rsidRPr="007463D6">
        <w:t>deux</w:t>
      </w:r>
      <w:r w:rsidR="000271E6" w:rsidRPr="007463D6">
        <w:t xml:space="preserve"> </w:t>
      </w:r>
      <w:r w:rsidRPr="007463D6">
        <w:t>mois</w:t>
      </w:r>
      <w:r w:rsidR="00AB7D14" w:rsidRPr="007463D6">
        <w:t>. Chacune des parties pourra mettre fin au télétravail par courriel avec accusé de réception ou courrier remis en main propre contre décharge, en respectant un délai de prévenance</w:t>
      </w:r>
      <w:r w:rsidRPr="007463D6">
        <w:t xml:space="preserve"> </w:t>
      </w:r>
      <w:r w:rsidR="00C85653" w:rsidRPr="007463D6">
        <w:t>réciproque d’un</w:t>
      </w:r>
      <w:r w:rsidR="00EE7908" w:rsidRPr="007463D6">
        <w:t xml:space="preserve"> mois</w:t>
      </w:r>
      <w:r w:rsidR="006639F1" w:rsidRPr="007463D6">
        <w:t>.</w:t>
      </w:r>
    </w:p>
    <w:p w14:paraId="6AA08D1F" w14:textId="77777777" w:rsidR="000271E6" w:rsidRPr="007463D6" w:rsidRDefault="00AB7D14" w:rsidP="00D902E9">
      <w:r w:rsidRPr="007463D6">
        <w:t>A la demande de l'une des partie</w:t>
      </w:r>
      <w:r w:rsidR="00B45250" w:rsidRPr="007463D6">
        <w:t>s</w:t>
      </w:r>
      <w:r w:rsidRPr="007463D6">
        <w:t>, un entretien peut être organisé ent</w:t>
      </w:r>
      <w:r w:rsidR="00B45250" w:rsidRPr="007463D6">
        <w:t>re</w:t>
      </w:r>
      <w:r w:rsidRPr="007463D6">
        <w:t xml:space="preserve"> le responsable hiérarchique, le salarié et éventuellement la DRH afin d'échanger sur les raisons ayant motivé cette demande.</w:t>
      </w:r>
    </w:p>
    <w:p w14:paraId="2C52D7CC" w14:textId="77777777" w:rsidR="00266CFB" w:rsidRPr="007463D6" w:rsidRDefault="00266CFB" w:rsidP="00D902E9"/>
    <w:p w14:paraId="012D786B" w14:textId="77777777" w:rsidR="007030FA" w:rsidRPr="007463D6" w:rsidRDefault="00C85653" w:rsidP="00D902E9">
      <w:pPr>
        <w:pStyle w:val="Titre3"/>
      </w:pPr>
      <w:bookmarkStart w:id="25" w:name="_Toc532886383"/>
      <w:bookmarkStart w:id="26" w:name="_Toc532888198"/>
      <w:r w:rsidRPr="007463D6">
        <w:t>3.4</w:t>
      </w:r>
      <w:r w:rsidR="007030FA" w:rsidRPr="007463D6">
        <w:t xml:space="preserve"> Organisation du télétravail</w:t>
      </w:r>
      <w:bookmarkEnd w:id="25"/>
      <w:bookmarkEnd w:id="26"/>
    </w:p>
    <w:p w14:paraId="4871430A" w14:textId="77777777" w:rsidR="007030FA" w:rsidRPr="007463D6" w:rsidRDefault="007030FA" w:rsidP="00D902E9"/>
    <w:p w14:paraId="3C25A9E1" w14:textId="77777777" w:rsidR="005C0B19" w:rsidRPr="007463D6" w:rsidRDefault="007030FA" w:rsidP="00D902E9">
      <w:r w:rsidRPr="007463D6">
        <w:t>Le télétravail s’exerce nécessairement par journée entière travaillée.</w:t>
      </w:r>
    </w:p>
    <w:p w14:paraId="0BF2FA7A" w14:textId="77777777" w:rsidR="007030FA" w:rsidRPr="007463D6" w:rsidRDefault="007030FA" w:rsidP="00D902E9">
      <w:r w:rsidRPr="007463D6">
        <w:t xml:space="preserve">Toute journée de télétravail pourra être annulée par le salarié ou le supérieur hiérarchique (ce dernier s’efforçant de respecter un délai de prévenance de 24 heures dans la mesure du possible) chaque fois que la présence du collaborateur sera nécessaire sur site dans le cadre du bon fonctionnement du service. </w:t>
      </w:r>
    </w:p>
    <w:p w14:paraId="5A5CED64" w14:textId="2E40D1C1" w:rsidR="000A0F96" w:rsidRPr="007463D6" w:rsidRDefault="00052962" w:rsidP="00D902E9">
      <w:r>
        <w:t>Pour les employés et les agents de maitrise, l</w:t>
      </w:r>
      <w:r w:rsidR="007030FA" w:rsidRPr="007463D6">
        <w:t>es plages horaires de disponibilité pour être joignable seront déterminées conjointement entre le salarié et son supérieur hiérarchique, en conformité avec le fonctionnement du service. Ces plages seront précisées dans l’avenant au contrat de travail étant entendu que ces plages doivent s'inscrire dans le cadre des horaires normaux de travail tels que pratiqués au sein des locaux habituels.</w:t>
      </w:r>
    </w:p>
    <w:p w14:paraId="3A0BF709" w14:textId="5813EB39" w:rsidR="000A0F96" w:rsidRPr="00BB3850" w:rsidRDefault="00052962" w:rsidP="00D902E9">
      <w:pPr>
        <w:rPr>
          <w:strike/>
          <w:color w:val="FF0000"/>
        </w:rPr>
      </w:pPr>
      <w:r>
        <w:t>L</w:t>
      </w:r>
      <w:r w:rsidR="000A0F96" w:rsidRPr="00716109">
        <w:t>es cadres au forfait jours</w:t>
      </w:r>
      <w:r>
        <w:t xml:space="preserve"> organiseront leur journée de travail conformément aux besoins et nécessités de fonctionnement de leur service, dans le respect des règles en vigueur notamment en termes de repos quotidien. </w:t>
      </w:r>
    </w:p>
    <w:p w14:paraId="7810E8B6" w14:textId="77777777" w:rsidR="00AA00E8" w:rsidRPr="007463D6" w:rsidRDefault="00AA00E8" w:rsidP="00D902E9">
      <w:pPr>
        <w:pStyle w:val="Sansinterligne"/>
      </w:pPr>
    </w:p>
    <w:p w14:paraId="3BBC8328" w14:textId="77777777" w:rsidR="005A11D1" w:rsidRPr="007463D6" w:rsidRDefault="00384504" w:rsidP="00D902E9">
      <w:pPr>
        <w:pStyle w:val="Titre3"/>
      </w:pPr>
      <w:bookmarkStart w:id="27" w:name="_Toc532886384"/>
      <w:bookmarkStart w:id="28" w:name="_Toc532888199"/>
      <w:r w:rsidRPr="007463D6">
        <w:t>3.</w:t>
      </w:r>
      <w:r w:rsidR="00AA00E8" w:rsidRPr="007463D6">
        <w:t>5</w:t>
      </w:r>
      <w:r w:rsidRPr="007463D6">
        <w:t xml:space="preserve"> P</w:t>
      </w:r>
      <w:r w:rsidR="00757D53" w:rsidRPr="007463D6">
        <w:t>rincipe</w:t>
      </w:r>
      <w:r w:rsidRPr="007463D6">
        <w:t xml:space="preserve"> de</w:t>
      </w:r>
      <w:r w:rsidR="005A11D1" w:rsidRPr="007463D6">
        <w:t xml:space="preserve"> Réversibilité</w:t>
      </w:r>
      <w:bookmarkEnd w:id="27"/>
      <w:bookmarkEnd w:id="28"/>
    </w:p>
    <w:p w14:paraId="11CDEF6E" w14:textId="77777777" w:rsidR="00E46A1A" w:rsidRDefault="00E46A1A" w:rsidP="00D902E9"/>
    <w:p w14:paraId="0C2AF34B" w14:textId="6FFFC4F3" w:rsidR="008134AE" w:rsidRPr="007463D6" w:rsidRDefault="008134AE" w:rsidP="00D902E9">
      <w:r w:rsidRPr="007463D6">
        <w:t>L'accord de l'une</w:t>
      </w:r>
      <w:r w:rsidR="00AB7D14" w:rsidRPr="007463D6">
        <w:t xml:space="preserve"> ou de l'autre des parties de recourir au télétravail est réversible. Chacune des parties peut mettre fin au télétravail par courriel avec accusé de récep</w:t>
      </w:r>
      <w:r w:rsidRPr="007463D6">
        <w:t>tion ou cour</w:t>
      </w:r>
      <w:r w:rsidR="003C4056" w:rsidRPr="007463D6">
        <w:t>rier remis en main propre contre</w:t>
      </w:r>
      <w:r w:rsidRPr="007463D6">
        <w:t xml:space="preserve"> décharge, en respectant </w:t>
      </w:r>
      <w:r w:rsidR="003D734D">
        <w:t xml:space="preserve">un </w:t>
      </w:r>
      <w:r w:rsidRPr="007463D6">
        <w:t xml:space="preserve">délai de prévenance </w:t>
      </w:r>
      <w:r w:rsidR="003D734D">
        <w:t>de</w:t>
      </w:r>
      <w:r w:rsidR="00105892">
        <w:t xml:space="preserve"> </w:t>
      </w:r>
      <w:r w:rsidRPr="007463D6">
        <w:t>15 jours.</w:t>
      </w:r>
    </w:p>
    <w:p w14:paraId="66C438C5" w14:textId="77777777" w:rsidR="00B45250" w:rsidRPr="007463D6" w:rsidRDefault="008134AE" w:rsidP="00D902E9">
      <w:r w:rsidRPr="007463D6">
        <w:t>Ce délai peut être réduit ou supprimé à la demande du salarié sous réserve de justifier de circonstances exceptionnelles ou à l'initiative du supérieur hiérarchique, notamment en cas d'impossibilité de poursuivre le télétravail à domicile pour cause de changement de celui-ci.</w:t>
      </w:r>
    </w:p>
    <w:p w14:paraId="10C2C412" w14:textId="77777777" w:rsidR="00B45250" w:rsidRPr="007463D6" w:rsidRDefault="00B45250" w:rsidP="00D902E9">
      <w:r w:rsidRPr="007463D6">
        <w:t>A la demande de l'une des parties, un entretien peut être organisé entre le responsable hiérarchique, le salarié et éventuellement la DRH afin d'échanger sur les raisons ayant motivé cette décision.</w:t>
      </w:r>
    </w:p>
    <w:p w14:paraId="1AE8AC99" w14:textId="77777777" w:rsidR="00022B22" w:rsidRPr="007463D6" w:rsidRDefault="00022B22" w:rsidP="00D902E9"/>
    <w:p w14:paraId="6B323D0D" w14:textId="77777777" w:rsidR="00A778C3" w:rsidRPr="007463D6" w:rsidRDefault="00A778C3" w:rsidP="00D902E9">
      <w:pPr>
        <w:pStyle w:val="Titre2"/>
      </w:pPr>
      <w:bookmarkStart w:id="29" w:name="_Toc532886385"/>
      <w:bookmarkStart w:id="30" w:name="_Toc532888200"/>
      <w:r w:rsidRPr="007463D6">
        <w:t>Article</w:t>
      </w:r>
      <w:r w:rsidR="005A11D1" w:rsidRPr="007463D6">
        <w:t xml:space="preserve"> 4</w:t>
      </w:r>
      <w:r w:rsidR="00940E33" w:rsidRPr="007463D6">
        <w:t xml:space="preserve"> </w:t>
      </w:r>
      <w:r w:rsidR="00D1584B" w:rsidRPr="007463D6">
        <w:t>-</w:t>
      </w:r>
      <w:r w:rsidR="00940E33" w:rsidRPr="007463D6">
        <w:t xml:space="preserve"> D</w:t>
      </w:r>
      <w:r w:rsidR="00DF3D76" w:rsidRPr="007463D6">
        <w:t>roits</w:t>
      </w:r>
      <w:r w:rsidR="00303C60" w:rsidRPr="007463D6">
        <w:t xml:space="preserve"> </w:t>
      </w:r>
      <w:r w:rsidR="00DF3D76" w:rsidRPr="007463D6">
        <w:t>collectifs</w:t>
      </w:r>
      <w:r w:rsidR="00A22323" w:rsidRPr="007463D6">
        <w:t xml:space="preserve"> et individuels du </w:t>
      </w:r>
      <w:r w:rsidR="00115757" w:rsidRPr="007463D6">
        <w:t>télétravailleur</w:t>
      </w:r>
      <w:bookmarkEnd w:id="29"/>
      <w:bookmarkEnd w:id="30"/>
    </w:p>
    <w:p w14:paraId="015D02E7" w14:textId="77777777" w:rsidR="00B45250" w:rsidRPr="007463D6" w:rsidRDefault="00B45250" w:rsidP="00D902E9"/>
    <w:p w14:paraId="6845100A" w14:textId="77777777" w:rsidR="00662CEC" w:rsidRPr="004B4D93" w:rsidRDefault="00B45250" w:rsidP="004B4D93">
      <w:r w:rsidRPr="007463D6">
        <w:t>Le télétravailleur a les mêmes droits et devoirs</w:t>
      </w:r>
      <w:r w:rsidR="003C4056" w:rsidRPr="007463D6">
        <w:t xml:space="preserve"> </w:t>
      </w:r>
      <w:r w:rsidRPr="007463D6">
        <w:t xml:space="preserve">que le salarié qui travaille dans les locaux de l'entreprise. </w:t>
      </w:r>
    </w:p>
    <w:p w14:paraId="3C852B59" w14:textId="77777777" w:rsidR="00022B22" w:rsidRPr="007463D6" w:rsidRDefault="00022B22" w:rsidP="00807485">
      <w:pPr>
        <w:pStyle w:val="Default"/>
        <w:spacing w:after="0" w:line="240" w:lineRule="auto"/>
        <w:jc w:val="both"/>
        <w:rPr>
          <w:rFonts w:ascii="Times New Roman" w:hAnsi="Times New Roman" w:cs="Times New Roman"/>
          <w:color w:val="auto"/>
        </w:rPr>
      </w:pPr>
    </w:p>
    <w:p w14:paraId="5BDCC0DC" w14:textId="77777777" w:rsidR="00DB1944" w:rsidRPr="007463D6" w:rsidRDefault="00B27CC0" w:rsidP="00D902E9">
      <w:pPr>
        <w:pStyle w:val="Titre2"/>
      </w:pPr>
      <w:bookmarkStart w:id="31" w:name="_Toc532886386"/>
      <w:bookmarkStart w:id="32" w:name="_Toc532888201"/>
      <w:r w:rsidRPr="007463D6">
        <w:t xml:space="preserve">Article </w:t>
      </w:r>
      <w:r w:rsidR="005A11D1" w:rsidRPr="007463D6">
        <w:t>5</w:t>
      </w:r>
      <w:r w:rsidR="00D1584B" w:rsidRPr="007463D6">
        <w:t xml:space="preserve"> -</w:t>
      </w:r>
      <w:r w:rsidR="00940E33" w:rsidRPr="007463D6">
        <w:t xml:space="preserve"> </w:t>
      </w:r>
      <w:r w:rsidR="00234F32" w:rsidRPr="007463D6">
        <w:t>É</w:t>
      </w:r>
      <w:r w:rsidRPr="007463D6">
        <w:t xml:space="preserve">quipement mis </w:t>
      </w:r>
      <w:r w:rsidR="00234F32" w:rsidRPr="007463D6">
        <w:t>à</w:t>
      </w:r>
      <w:r w:rsidRPr="007463D6">
        <w:t xml:space="preserve"> disposition</w:t>
      </w:r>
      <w:r w:rsidR="00A22323" w:rsidRPr="007463D6">
        <w:t xml:space="preserve"> du </w:t>
      </w:r>
      <w:r w:rsidR="00115757" w:rsidRPr="007463D6">
        <w:t>télétravailleur</w:t>
      </w:r>
      <w:bookmarkEnd w:id="31"/>
      <w:bookmarkEnd w:id="32"/>
    </w:p>
    <w:p w14:paraId="3EDF955C" w14:textId="77777777" w:rsidR="00B27CC0" w:rsidRPr="007463D6" w:rsidRDefault="00B27CC0" w:rsidP="00807485">
      <w:pPr>
        <w:pStyle w:val="Default"/>
        <w:spacing w:after="0" w:line="240" w:lineRule="auto"/>
        <w:jc w:val="both"/>
        <w:rPr>
          <w:rFonts w:ascii="Times New Roman" w:hAnsi="Times New Roman" w:cs="Times New Roman"/>
          <w:color w:val="auto"/>
        </w:rPr>
      </w:pPr>
    </w:p>
    <w:p w14:paraId="2271B14E" w14:textId="2332AAC3" w:rsidR="006F7DB3" w:rsidRPr="007463D6" w:rsidRDefault="00B27CC0" w:rsidP="00D902E9">
      <w:r w:rsidRPr="007313A6">
        <w:t>L</w:t>
      </w:r>
      <w:r w:rsidR="00B063AB" w:rsidRPr="007313A6">
        <w:t>’établissement</w:t>
      </w:r>
      <w:r w:rsidR="00C33E97" w:rsidRPr="007313A6">
        <w:t xml:space="preserve"> DSI </w:t>
      </w:r>
      <w:r w:rsidRPr="007313A6">
        <w:t>fournira</w:t>
      </w:r>
      <w:r w:rsidRPr="007463D6">
        <w:t xml:space="preserve"> au collaborateur en télétravail les équipements nécessaires</w:t>
      </w:r>
      <w:r w:rsidR="00271F4F" w:rsidRPr="007463D6">
        <w:t xml:space="preserve">, lesquels pourront être mutualisés, </w:t>
      </w:r>
      <w:r w:rsidRPr="007463D6">
        <w:t>pour lui permettre d’exercer son activité professionnelle à son domicile dans des conditions satisfaisantes, à savoir</w:t>
      </w:r>
      <w:r w:rsidR="00BB571F" w:rsidRPr="007463D6">
        <w:t> :</w:t>
      </w:r>
    </w:p>
    <w:p w14:paraId="7EABD0BA" w14:textId="77777777" w:rsidR="00B27CC0" w:rsidRPr="007463D6" w:rsidRDefault="00B86C08" w:rsidP="00D902E9">
      <w:pPr>
        <w:pStyle w:val="Paragraphedeliste"/>
        <w:numPr>
          <w:ilvl w:val="0"/>
          <w:numId w:val="4"/>
        </w:numPr>
      </w:pPr>
      <w:r>
        <w:t>U</w:t>
      </w:r>
      <w:r w:rsidR="00B27CC0" w:rsidRPr="007463D6">
        <w:t>n ordinateur portable s’il n’en est pas déjà équipé dans les locaux de la société</w:t>
      </w:r>
      <w:r>
        <w:t> ;</w:t>
      </w:r>
    </w:p>
    <w:p w14:paraId="20737625" w14:textId="77777777" w:rsidR="00B27CC0" w:rsidRPr="007463D6" w:rsidRDefault="00B86C08" w:rsidP="00D902E9">
      <w:pPr>
        <w:pStyle w:val="Paragraphedeliste"/>
        <w:numPr>
          <w:ilvl w:val="0"/>
          <w:numId w:val="4"/>
        </w:numPr>
      </w:pPr>
      <w:r>
        <w:t>U</w:t>
      </w:r>
      <w:r w:rsidR="00B27CC0" w:rsidRPr="007463D6">
        <w:t>n téléphone portable</w:t>
      </w:r>
      <w:r w:rsidR="00CF23AB" w:rsidRPr="007463D6">
        <w:t xml:space="preserve"> </w:t>
      </w:r>
      <w:r w:rsidR="00F33CDC" w:rsidRPr="007463D6">
        <w:t>s’il n’en est pas déjà équipé dans les locaux de la société</w:t>
      </w:r>
      <w:r>
        <w:t> ;</w:t>
      </w:r>
    </w:p>
    <w:p w14:paraId="0888259D" w14:textId="77777777" w:rsidR="00B27CC0" w:rsidRPr="007463D6" w:rsidRDefault="00B86C08" w:rsidP="00D902E9">
      <w:pPr>
        <w:pStyle w:val="Paragraphedeliste"/>
        <w:numPr>
          <w:ilvl w:val="0"/>
          <w:numId w:val="4"/>
        </w:numPr>
      </w:pPr>
      <w:r>
        <w:t>U</w:t>
      </w:r>
      <w:r w:rsidR="00B27CC0" w:rsidRPr="007463D6">
        <w:t>n accès VPN</w:t>
      </w:r>
      <w:r w:rsidR="00B00417" w:rsidRPr="007463D6">
        <w:t>.</w:t>
      </w:r>
    </w:p>
    <w:p w14:paraId="6A17A60A" w14:textId="11BC9695" w:rsidR="00B77417" w:rsidRPr="007463D6" w:rsidRDefault="00B27CC0" w:rsidP="00D902E9">
      <w:r w:rsidRPr="007463D6">
        <w:t xml:space="preserve">Le choix des équipements qui restent propriété de la société, se fera par la direction de </w:t>
      </w:r>
      <w:r w:rsidR="00B063AB">
        <w:t>l’établissement DSI</w:t>
      </w:r>
      <w:r w:rsidR="00AA00E8" w:rsidRPr="007463D6">
        <w:t xml:space="preserve"> </w:t>
      </w:r>
      <w:r w:rsidRPr="007463D6">
        <w:t>après validation du supérieur hiérarchique selon l’activité du télétravailleur qu’il sera amené à exercer à son domicile.</w:t>
      </w:r>
      <w:r w:rsidR="003F7D78" w:rsidRPr="007463D6">
        <w:t xml:space="preserve"> Seuls ces équipements pourront être utilisés</w:t>
      </w:r>
      <w:r w:rsidR="00580E7F" w:rsidRPr="007463D6">
        <w:t>,</w:t>
      </w:r>
      <w:r w:rsidR="00254FDA" w:rsidRPr="007463D6">
        <w:t xml:space="preserve"> conformément aux dispositions</w:t>
      </w:r>
      <w:r w:rsidR="00580E7F" w:rsidRPr="007463D6">
        <w:t xml:space="preserve"> de la Charte du Groupe relative à la Sécurité Informatique, </w:t>
      </w:r>
      <w:r w:rsidR="003F7D78" w:rsidRPr="007463D6">
        <w:t>par ce dernier dans le cadre du télétravail et à des fins strictement professionnel</w:t>
      </w:r>
      <w:r w:rsidR="00BA6126" w:rsidRPr="007463D6">
        <w:t>le</w:t>
      </w:r>
      <w:r w:rsidR="003F7D78" w:rsidRPr="007463D6">
        <w:t>s.</w:t>
      </w:r>
    </w:p>
    <w:p w14:paraId="2849BBB4" w14:textId="77777777" w:rsidR="00373181" w:rsidRDefault="00B27CC0" w:rsidP="00D902E9">
      <w:r w:rsidRPr="007463D6">
        <w:t xml:space="preserve">Le télétravailleur aura l’obligation en cas de défaillance d’un des équipements mentionnés ou </w:t>
      </w:r>
      <w:r w:rsidR="00162033" w:rsidRPr="007463D6">
        <w:t>d</w:t>
      </w:r>
      <w:r w:rsidR="003F7D78" w:rsidRPr="007463D6">
        <w:t>u réseau (</w:t>
      </w:r>
      <w:r w:rsidR="00162033" w:rsidRPr="007463D6">
        <w:t>I</w:t>
      </w:r>
      <w:r w:rsidR="003F7D78" w:rsidRPr="007463D6">
        <w:t>nternet) d’informer dans les plus brefs délais, son supérieur hiérarchique</w:t>
      </w:r>
      <w:r w:rsidR="000A0F96" w:rsidRPr="007463D6">
        <w:t>,</w:t>
      </w:r>
      <w:r w:rsidR="003F7D78" w:rsidRPr="007463D6">
        <w:t xml:space="preserve"> ainsi que </w:t>
      </w:r>
      <w:r w:rsidR="001928C8" w:rsidRPr="007463D6">
        <w:t xml:space="preserve">le service help desk (DIP / Opérations) </w:t>
      </w:r>
      <w:r w:rsidR="003F7D78" w:rsidRPr="007463D6">
        <w:t xml:space="preserve">en charge de l’assistance technique. Dans l’hypothèse où cette défaillance venait à perdurer, le responsable hiérarchique pourra être amené à demander au télétravailleur de venir poursuivre son activité professionnelle dans les locaux de la </w:t>
      </w:r>
      <w:r w:rsidR="00DF2FF0" w:rsidRPr="007463D6">
        <w:t xml:space="preserve">Société </w:t>
      </w:r>
      <w:r w:rsidR="003C4056" w:rsidRPr="007463D6">
        <w:t>Distribution Casino France</w:t>
      </w:r>
      <w:r w:rsidR="00EC2397" w:rsidRPr="007463D6">
        <w:t xml:space="preserve"> </w:t>
      </w:r>
      <w:r w:rsidR="003F7D78" w:rsidRPr="007463D6">
        <w:t>sans que ce dernier puisse le refuser.</w:t>
      </w:r>
    </w:p>
    <w:p w14:paraId="307D997C" w14:textId="77777777" w:rsidR="003446BE" w:rsidRDefault="003446BE" w:rsidP="00D902E9"/>
    <w:p w14:paraId="76D80E5B" w14:textId="77777777" w:rsidR="002D511C" w:rsidRPr="007463D6" w:rsidRDefault="00AA1715" w:rsidP="00D902E9">
      <w:pPr>
        <w:pStyle w:val="Titre2"/>
      </w:pPr>
      <w:bookmarkStart w:id="33" w:name="_Toc532886387"/>
      <w:bookmarkStart w:id="34" w:name="_Toc532888202"/>
      <w:r w:rsidRPr="007463D6">
        <w:lastRenderedPageBreak/>
        <w:t xml:space="preserve">Article </w:t>
      </w:r>
      <w:r w:rsidR="000E6770" w:rsidRPr="007463D6">
        <w:t xml:space="preserve">6 </w:t>
      </w:r>
      <w:r w:rsidR="00D1584B" w:rsidRPr="007463D6">
        <w:t>-</w:t>
      </w:r>
      <w:r w:rsidR="00956836" w:rsidRPr="007463D6">
        <w:t xml:space="preserve"> indemnisation</w:t>
      </w:r>
      <w:r w:rsidR="00940E33" w:rsidRPr="007463D6">
        <w:t xml:space="preserve"> </w:t>
      </w:r>
      <w:r w:rsidR="000E6770" w:rsidRPr="007463D6">
        <w:t>de frais</w:t>
      </w:r>
      <w:r w:rsidR="006F7744" w:rsidRPr="007463D6">
        <w:t xml:space="preserve"> télétravail</w:t>
      </w:r>
      <w:bookmarkEnd w:id="33"/>
      <w:bookmarkEnd w:id="34"/>
    </w:p>
    <w:p w14:paraId="59AB9FB6" w14:textId="77777777" w:rsidR="002D511C" w:rsidRPr="007463D6" w:rsidRDefault="002D511C" w:rsidP="00807485">
      <w:pPr>
        <w:pStyle w:val="Default"/>
        <w:spacing w:after="0" w:line="240" w:lineRule="auto"/>
        <w:jc w:val="both"/>
        <w:rPr>
          <w:rFonts w:ascii="Times New Roman" w:hAnsi="Times New Roman" w:cs="Times New Roman"/>
          <w:color w:val="auto"/>
        </w:rPr>
      </w:pPr>
    </w:p>
    <w:p w14:paraId="281ADD43" w14:textId="77777777" w:rsidR="00B45250" w:rsidRPr="007463D6" w:rsidRDefault="00B45250" w:rsidP="00D902E9">
      <w:r w:rsidRPr="007463D6">
        <w:t>Il sera versé au salarié une indemnité forfaitaire de 16,25 euros par mois</w:t>
      </w:r>
      <w:r w:rsidR="00EC2397" w:rsidRPr="007463D6">
        <w:t xml:space="preserve">, </w:t>
      </w:r>
      <w:r w:rsidRPr="007463D6">
        <w:t xml:space="preserve">calculée sur la base d’une journée de télétravail régulier par semaine. </w:t>
      </w:r>
    </w:p>
    <w:p w14:paraId="29A72C82" w14:textId="77777777" w:rsidR="00B45250" w:rsidRPr="007463D6" w:rsidRDefault="00B45250" w:rsidP="00D902E9">
      <w:r w:rsidRPr="007463D6">
        <w:t xml:space="preserve">Cette indemnité forfaitaire est distincte de la rémunération de base et couvre  les coûts d’électricité, de chauffage et d’entretien, d’occupation des locaux, d’assurance qui y sont associés et des coûts d’utilisation d’une connexion Internet personnelle. </w:t>
      </w:r>
    </w:p>
    <w:p w14:paraId="0D63308D" w14:textId="77777777" w:rsidR="00DA786C" w:rsidRDefault="00DA786C" w:rsidP="00D902E9">
      <w:pPr>
        <w:pStyle w:val="Sansinterligne"/>
      </w:pPr>
    </w:p>
    <w:p w14:paraId="314A42FA" w14:textId="77777777" w:rsidR="00022B22" w:rsidRPr="007463D6" w:rsidRDefault="00022B22" w:rsidP="00D902E9">
      <w:pPr>
        <w:pStyle w:val="Sansinterligne"/>
      </w:pPr>
    </w:p>
    <w:p w14:paraId="08F83BAD" w14:textId="77777777" w:rsidR="00DF3D76" w:rsidRPr="007463D6" w:rsidRDefault="00303C60" w:rsidP="00D902E9">
      <w:pPr>
        <w:pStyle w:val="Titre2"/>
      </w:pPr>
      <w:bookmarkStart w:id="35" w:name="_Toc532886388"/>
      <w:bookmarkStart w:id="36" w:name="_Toc532888203"/>
      <w:r w:rsidRPr="007463D6">
        <w:t xml:space="preserve">Article </w:t>
      </w:r>
      <w:r w:rsidR="00AA1715" w:rsidRPr="007463D6">
        <w:t>7</w:t>
      </w:r>
      <w:r w:rsidR="00D1584B" w:rsidRPr="007463D6">
        <w:t xml:space="preserve"> -</w:t>
      </w:r>
      <w:r w:rsidR="00940E33" w:rsidRPr="007463D6">
        <w:t xml:space="preserve"> S</w:t>
      </w:r>
      <w:r w:rsidR="006F7744" w:rsidRPr="007463D6">
        <w:t xml:space="preserve">ante et </w:t>
      </w:r>
      <w:r w:rsidR="008415FC" w:rsidRPr="007463D6">
        <w:t>sécurité</w:t>
      </w:r>
      <w:r w:rsidR="006F7744" w:rsidRPr="007463D6">
        <w:t xml:space="preserve"> au travail</w:t>
      </w:r>
      <w:bookmarkEnd w:id="35"/>
      <w:bookmarkEnd w:id="36"/>
    </w:p>
    <w:p w14:paraId="361620EF" w14:textId="77777777" w:rsidR="00DF3D76" w:rsidRPr="007463D6" w:rsidRDefault="00DF3D76" w:rsidP="00807485">
      <w:pPr>
        <w:pStyle w:val="Default"/>
        <w:keepNext/>
        <w:spacing w:after="0" w:line="240" w:lineRule="auto"/>
        <w:jc w:val="both"/>
        <w:rPr>
          <w:rFonts w:ascii="Times New Roman" w:hAnsi="Times New Roman" w:cs="Times New Roman"/>
          <w:color w:val="auto"/>
        </w:rPr>
      </w:pPr>
    </w:p>
    <w:p w14:paraId="09FA3670" w14:textId="77777777" w:rsidR="00A778C3" w:rsidRPr="007463D6" w:rsidRDefault="00AA1715" w:rsidP="00D902E9">
      <w:pPr>
        <w:pStyle w:val="Titre3"/>
      </w:pPr>
      <w:bookmarkStart w:id="37" w:name="_Toc532886389"/>
      <w:bookmarkStart w:id="38" w:name="_Toc532888204"/>
      <w:r w:rsidRPr="007463D6">
        <w:t>7</w:t>
      </w:r>
      <w:r w:rsidR="005A11D1" w:rsidRPr="007463D6">
        <w:t xml:space="preserve">.1 </w:t>
      </w:r>
      <w:r w:rsidR="00EC2397" w:rsidRPr="007463D6">
        <w:t>Charge de travail</w:t>
      </w:r>
      <w:bookmarkEnd w:id="37"/>
      <w:bookmarkEnd w:id="38"/>
    </w:p>
    <w:p w14:paraId="5F071059" w14:textId="77777777" w:rsidR="00197DE9" w:rsidRPr="007463D6" w:rsidRDefault="00197DE9" w:rsidP="00807485">
      <w:pPr>
        <w:pStyle w:val="Default"/>
        <w:keepNext/>
        <w:spacing w:after="0" w:line="240" w:lineRule="auto"/>
        <w:jc w:val="both"/>
        <w:rPr>
          <w:rFonts w:ascii="Times New Roman" w:hAnsi="Times New Roman" w:cs="Times New Roman"/>
          <w:color w:val="auto"/>
        </w:rPr>
      </w:pPr>
    </w:p>
    <w:p w14:paraId="2D0AFFDF" w14:textId="77777777" w:rsidR="00B45250" w:rsidRPr="007463D6" w:rsidRDefault="00B45250" w:rsidP="00D902E9">
      <w:r w:rsidRPr="007463D6">
        <w:t>La charge de travail et l’amplitude horaire demandée au télétravailleur sont équivalentes à celles des collaborateurs ayant des fonctions analogues</w:t>
      </w:r>
      <w:r w:rsidR="00234F32" w:rsidRPr="007463D6">
        <w:t>,</w:t>
      </w:r>
      <w:r w:rsidRPr="007463D6">
        <w:t xml:space="preserve"> mais travaillant en permanence dans les locaux de l’entreprise. </w:t>
      </w:r>
    </w:p>
    <w:p w14:paraId="76995BA5" w14:textId="44515A78" w:rsidR="00DB16AC" w:rsidRPr="007313A6" w:rsidRDefault="00B45250" w:rsidP="007313A6">
      <w:r w:rsidRPr="007463D6">
        <w:t xml:space="preserve">Ainsi, le passage en télétravail ne modifie en rien le contenu et les objectifs de la fonction exercée par le télétravailleur. </w:t>
      </w:r>
    </w:p>
    <w:p w14:paraId="745DC924" w14:textId="27F22012" w:rsidR="00DB16AC" w:rsidRPr="00DB16AC" w:rsidRDefault="00DB16AC" w:rsidP="00E46A1A">
      <w:r w:rsidRPr="007313A6">
        <w:t>Il est également rappelé que</w:t>
      </w:r>
      <w:r w:rsidR="00B063AB" w:rsidRPr="007313A6">
        <w:t>,</w:t>
      </w:r>
      <w:r w:rsidRPr="007313A6">
        <w:t xml:space="preserve"> pendant les absences (maladie, congés…), le salarié habituellement en télétravail ne pourra pas télétravailler.</w:t>
      </w:r>
    </w:p>
    <w:p w14:paraId="3C95ABDF" w14:textId="77777777" w:rsidR="000A0F96" w:rsidRPr="007463D6" w:rsidRDefault="00B45250" w:rsidP="00D902E9">
      <w:r w:rsidRPr="007463D6">
        <w:t xml:space="preserve">Les objectifs du télétravailleur sont fixés lors de l’entretien annuel comme pour tout collaborateur de l’entreprise. Cependant, le supérieur hiérarchique s’assurera avec le salarié que : </w:t>
      </w:r>
    </w:p>
    <w:p w14:paraId="54EF5B15" w14:textId="77777777" w:rsidR="00B45250" w:rsidRPr="007463D6" w:rsidRDefault="00B86C08" w:rsidP="00D902E9">
      <w:pPr>
        <w:pStyle w:val="Paragraphedeliste"/>
        <w:numPr>
          <w:ilvl w:val="0"/>
          <w:numId w:val="5"/>
        </w:numPr>
      </w:pPr>
      <w:r>
        <w:t>L</w:t>
      </w:r>
      <w:r w:rsidR="00B45250" w:rsidRPr="007463D6">
        <w:t>e fonctionnement et la qualité du service ne sont pas impactés négativement par le télétravail ;</w:t>
      </w:r>
    </w:p>
    <w:p w14:paraId="7D8622FF" w14:textId="77777777" w:rsidR="00B45250" w:rsidRPr="007463D6" w:rsidRDefault="00B86C08" w:rsidP="00D902E9">
      <w:pPr>
        <w:pStyle w:val="Paragraphedeliste"/>
        <w:numPr>
          <w:ilvl w:val="0"/>
          <w:numId w:val="5"/>
        </w:numPr>
      </w:pPr>
      <w:r>
        <w:t>D</w:t>
      </w:r>
      <w:r w:rsidR="00B45250" w:rsidRPr="007463D6">
        <w:t>es conditions d’activité de celui-ci ainsi que de sa charge de travail.</w:t>
      </w:r>
    </w:p>
    <w:p w14:paraId="1DF97FD5" w14:textId="77777777" w:rsidR="00C01AE6" w:rsidRPr="007463D6" w:rsidRDefault="00384504" w:rsidP="00D902E9">
      <w:r w:rsidRPr="007463D6">
        <w:t>Le collaborateur</w:t>
      </w:r>
      <w:r w:rsidR="00C01AE6" w:rsidRPr="007463D6">
        <w:t xml:space="preserve"> en télétravail devr</w:t>
      </w:r>
      <w:r w:rsidRPr="007463D6">
        <w:t>a</w:t>
      </w:r>
      <w:r w:rsidR="00C01AE6" w:rsidRPr="007463D6">
        <w:t xml:space="preserve"> donner le</w:t>
      </w:r>
      <w:r w:rsidRPr="007463D6">
        <w:t xml:space="preserve"> même niveau de visibilité sur son </w:t>
      </w:r>
      <w:r w:rsidR="00C01AE6" w:rsidRPr="007463D6">
        <w:t xml:space="preserve">activité que </w:t>
      </w:r>
      <w:r w:rsidRPr="007463D6">
        <w:t xml:space="preserve">les autres collaborateurs </w:t>
      </w:r>
      <w:r w:rsidR="00C01AE6" w:rsidRPr="007463D6">
        <w:t xml:space="preserve">travaillant au sein des locaux de la </w:t>
      </w:r>
      <w:r w:rsidR="00DF2FF0" w:rsidRPr="007463D6">
        <w:t xml:space="preserve">Société </w:t>
      </w:r>
      <w:r w:rsidR="003C4056" w:rsidRPr="007463D6">
        <w:t>Distribution Casino France</w:t>
      </w:r>
      <w:r w:rsidR="00DF2FF0" w:rsidRPr="007463D6">
        <w:t>.</w:t>
      </w:r>
    </w:p>
    <w:p w14:paraId="07A9D723" w14:textId="77777777" w:rsidR="00197DE9" w:rsidRPr="007463D6" w:rsidRDefault="00197DE9" w:rsidP="00D902E9">
      <w:pPr>
        <w:pStyle w:val="Sansinterligne"/>
      </w:pPr>
    </w:p>
    <w:p w14:paraId="19AF1B81" w14:textId="77777777" w:rsidR="002D511C" w:rsidRPr="004C5864" w:rsidRDefault="00AA1715" w:rsidP="00D902E9">
      <w:pPr>
        <w:pStyle w:val="Titre3"/>
      </w:pPr>
      <w:bookmarkStart w:id="39" w:name="_Toc532886390"/>
      <w:bookmarkStart w:id="40" w:name="_Toc532888205"/>
      <w:r w:rsidRPr="004C5864">
        <w:t>7</w:t>
      </w:r>
      <w:r w:rsidR="005A11D1" w:rsidRPr="004C5864">
        <w:t>.2</w:t>
      </w:r>
      <w:r w:rsidR="00A22323" w:rsidRPr="004C5864">
        <w:t xml:space="preserve"> </w:t>
      </w:r>
      <w:r w:rsidR="008A5C81" w:rsidRPr="004C5864">
        <w:t>L’assurance</w:t>
      </w:r>
      <w:bookmarkEnd w:id="39"/>
      <w:bookmarkEnd w:id="40"/>
      <w:r w:rsidR="002D511C" w:rsidRPr="004C5864">
        <w:t xml:space="preserve"> </w:t>
      </w:r>
    </w:p>
    <w:p w14:paraId="6DBEE9C5" w14:textId="77777777" w:rsidR="00197DE9" w:rsidRPr="007463D6" w:rsidRDefault="00197DE9" w:rsidP="00D902E9">
      <w:pPr>
        <w:pStyle w:val="Sansinterligne"/>
      </w:pPr>
    </w:p>
    <w:p w14:paraId="501B1676" w14:textId="77777777" w:rsidR="00B45250" w:rsidRPr="007463D6" w:rsidRDefault="00B45250" w:rsidP="00D902E9">
      <w:pPr>
        <w:spacing w:line="240" w:lineRule="auto"/>
      </w:pPr>
      <w:r w:rsidRPr="007463D6">
        <w:t>Le salarié devra effectuer les démarches préalables nécessaires afin d’informer son assureur de sa situation de télétravail. Il transmettra à la société, lors de la signature de l’avenant à son contrat de travail, un justificatif du contrat multirisque habitation souscrit auprès de son assureur et dans lequel ce dernier prend acte qu’une activité professionnelle sera exercée au domicile du salarié.</w:t>
      </w:r>
    </w:p>
    <w:p w14:paraId="3A399C49" w14:textId="77777777" w:rsidR="00197DE9" w:rsidRPr="007463D6" w:rsidRDefault="00197DE9" w:rsidP="00D902E9">
      <w:pPr>
        <w:pStyle w:val="Sansinterligne"/>
      </w:pPr>
    </w:p>
    <w:p w14:paraId="4F2D7A2E" w14:textId="77777777" w:rsidR="00C01AE6" w:rsidRPr="007463D6" w:rsidRDefault="00AA1715" w:rsidP="00D902E9">
      <w:pPr>
        <w:pStyle w:val="Titre3"/>
      </w:pPr>
      <w:bookmarkStart w:id="41" w:name="_Toc532886391"/>
      <w:bookmarkStart w:id="42" w:name="_Toc532888206"/>
      <w:r w:rsidRPr="007463D6">
        <w:t>7</w:t>
      </w:r>
      <w:r w:rsidR="005A11D1" w:rsidRPr="007463D6">
        <w:t>.</w:t>
      </w:r>
      <w:r w:rsidR="00662CEC" w:rsidRPr="007463D6">
        <w:t>3</w:t>
      </w:r>
      <w:r w:rsidR="00CF3D75" w:rsidRPr="007463D6">
        <w:t xml:space="preserve"> </w:t>
      </w:r>
      <w:r w:rsidR="00C01AE6" w:rsidRPr="007463D6">
        <w:t>Le maintien du lien social</w:t>
      </w:r>
      <w:bookmarkEnd w:id="41"/>
      <w:bookmarkEnd w:id="42"/>
    </w:p>
    <w:p w14:paraId="1EB51280" w14:textId="77777777" w:rsidR="00D902E9" w:rsidRDefault="00D902E9" w:rsidP="00D902E9">
      <w:pPr>
        <w:spacing w:after="0" w:line="240" w:lineRule="auto"/>
      </w:pPr>
    </w:p>
    <w:p w14:paraId="23937F89" w14:textId="77777777" w:rsidR="00651827" w:rsidRPr="007463D6" w:rsidRDefault="00651827" w:rsidP="00D902E9">
      <w:pPr>
        <w:spacing w:after="0" w:line="240" w:lineRule="auto"/>
      </w:pPr>
      <w:r w:rsidRPr="007463D6">
        <w:t>Le respo</w:t>
      </w:r>
      <w:r w:rsidR="00000EEC" w:rsidRPr="007463D6">
        <w:t>nsable hiérarchique s’assurera, lors de</w:t>
      </w:r>
      <w:r w:rsidRPr="007463D6">
        <w:t xml:space="preserve"> </w:t>
      </w:r>
      <w:r w:rsidR="00000EEC" w:rsidRPr="007463D6">
        <w:t xml:space="preserve">la </w:t>
      </w:r>
      <w:r w:rsidRPr="007463D6">
        <w:t>construction du planning de télétravail</w:t>
      </w:r>
      <w:r w:rsidR="00000EEC" w:rsidRPr="007463D6">
        <w:t>,</w:t>
      </w:r>
      <w:r w:rsidRPr="007463D6">
        <w:t xml:space="preserve"> qu’il y a </w:t>
      </w:r>
      <w:r w:rsidR="00F346B3" w:rsidRPr="007463D6">
        <w:t>suffisamment</w:t>
      </w:r>
      <w:r w:rsidRPr="007463D6">
        <w:t xml:space="preserve"> de jours au cours desquels l’ensemble des équipes sont présentes, afin de maintenir le lien social, et organiser les réunions </w:t>
      </w:r>
      <w:r w:rsidR="00350C06" w:rsidRPr="007463D6">
        <w:t>de travail.</w:t>
      </w:r>
      <w:r w:rsidRPr="007463D6">
        <w:t xml:space="preserve"> </w:t>
      </w:r>
    </w:p>
    <w:p w14:paraId="6C9065BC" w14:textId="77777777" w:rsidR="00771537" w:rsidRPr="007463D6" w:rsidRDefault="00771537" w:rsidP="00D902E9">
      <w:pPr>
        <w:pStyle w:val="Sansinterligne"/>
      </w:pPr>
    </w:p>
    <w:p w14:paraId="7A9BDB9F" w14:textId="77777777" w:rsidR="00DB6017" w:rsidRPr="007463D6" w:rsidRDefault="00AA1715" w:rsidP="00D902E9">
      <w:pPr>
        <w:pStyle w:val="Titre3"/>
      </w:pPr>
      <w:bookmarkStart w:id="43" w:name="_Toc532886392"/>
      <w:bookmarkStart w:id="44" w:name="_Toc532888207"/>
      <w:r w:rsidRPr="007463D6">
        <w:lastRenderedPageBreak/>
        <w:t>7</w:t>
      </w:r>
      <w:r w:rsidR="005A11D1" w:rsidRPr="007463D6">
        <w:t>.</w:t>
      </w:r>
      <w:r w:rsidR="00662CEC" w:rsidRPr="007463D6">
        <w:t>4</w:t>
      </w:r>
      <w:r w:rsidR="00CF3D75" w:rsidRPr="007463D6">
        <w:t xml:space="preserve"> </w:t>
      </w:r>
      <w:r w:rsidR="00DB6017" w:rsidRPr="007463D6">
        <w:t>Confidentialité et protection des données de l’entreprise</w:t>
      </w:r>
      <w:bookmarkEnd w:id="43"/>
      <w:bookmarkEnd w:id="44"/>
      <w:r w:rsidR="00DB6017" w:rsidRPr="007463D6">
        <w:t xml:space="preserve"> </w:t>
      </w:r>
    </w:p>
    <w:p w14:paraId="48456C8E" w14:textId="77777777" w:rsidR="00DB6017" w:rsidRPr="007463D6" w:rsidRDefault="00DB6017" w:rsidP="00D902E9">
      <w:pPr>
        <w:pStyle w:val="Sansinterligne"/>
      </w:pPr>
    </w:p>
    <w:p w14:paraId="2A625EED" w14:textId="77777777" w:rsidR="00DB6017" w:rsidRPr="007463D6" w:rsidRDefault="00DB6017" w:rsidP="00D902E9">
      <w:bookmarkStart w:id="45" w:name="_Toc532886393"/>
      <w:r w:rsidRPr="007463D6">
        <w:t>Il est rappelé que tout salarié doit veiller au respect des dispositions de la Charte individuelle relative à la sécurité informatique.</w:t>
      </w:r>
      <w:bookmarkEnd w:id="45"/>
      <w:r w:rsidRPr="007463D6">
        <w:t xml:space="preserve"> </w:t>
      </w:r>
    </w:p>
    <w:p w14:paraId="1AE06DB0" w14:textId="77777777" w:rsidR="00DB6017" w:rsidRPr="007463D6" w:rsidRDefault="00DB6017" w:rsidP="00D902E9">
      <w:bookmarkStart w:id="46" w:name="_Toc532886394"/>
      <w:r w:rsidRPr="007463D6">
        <w:t>En particulier, le télétravailleur devra prendre toutes les précautions nécessaires pour préserver la confidentialité des informations et documents qui lui sont confiés et auxquels il/elle a accès dans le cadre professionnel.</w:t>
      </w:r>
      <w:bookmarkEnd w:id="46"/>
    </w:p>
    <w:p w14:paraId="2EDCA645" w14:textId="77777777" w:rsidR="000A0F96" w:rsidRPr="007463D6" w:rsidRDefault="00DB6017" w:rsidP="00D902E9">
      <w:bookmarkStart w:id="47" w:name="_Toc532886395"/>
      <w:r w:rsidRPr="007463D6">
        <w:t>Notamment, le télétravailleur :</w:t>
      </w:r>
      <w:bookmarkEnd w:id="47"/>
    </w:p>
    <w:p w14:paraId="61E37AC8" w14:textId="77777777" w:rsidR="00DB6017" w:rsidRPr="007463D6" w:rsidRDefault="00B220AF" w:rsidP="00D902E9">
      <w:pPr>
        <w:pStyle w:val="Paragraphedeliste"/>
        <w:numPr>
          <w:ilvl w:val="0"/>
          <w:numId w:val="6"/>
        </w:numPr>
      </w:pPr>
      <w:bookmarkStart w:id="48" w:name="_Toc532886396"/>
      <w:r>
        <w:t>S</w:t>
      </w:r>
      <w:r w:rsidR="00DB6017" w:rsidRPr="007463D6">
        <w:t>’interdit de communiquer ou divulguer à des tiers, directement ou indirectement, des informations ou documents appartenant à la société,</w:t>
      </w:r>
      <w:r w:rsidR="00EC2397" w:rsidRPr="007463D6">
        <w:t xml:space="preserve"> sous quelque forme que ce soit </w:t>
      </w:r>
      <w:r w:rsidR="00DB6017" w:rsidRPr="007463D6">
        <w:t>;</w:t>
      </w:r>
      <w:bookmarkEnd w:id="48"/>
    </w:p>
    <w:p w14:paraId="6EEA4310" w14:textId="77777777" w:rsidR="00DB6017" w:rsidRPr="007463D6" w:rsidRDefault="00B220AF" w:rsidP="00D902E9">
      <w:pPr>
        <w:pStyle w:val="Paragraphedeliste"/>
        <w:numPr>
          <w:ilvl w:val="0"/>
          <w:numId w:val="6"/>
        </w:numPr>
      </w:pPr>
      <w:bookmarkStart w:id="49" w:name="_Toc532886397"/>
      <w:r>
        <w:t>S</w:t>
      </w:r>
      <w:r w:rsidR="00DB6017" w:rsidRPr="007463D6">
        <w:t>’engage à ne pas apporter et/ou conserver à son domicile des données appartenant à la société sur un support non autorisé par sa hiérarchie ;</w:t>
      </w:r>
      <w:bookmarkEnd w:id="49"/>
    </w:p>
    <w:p w14:paraId="2C1BB90C" w14:textId="77777777" w:rsidR="00DB6017" w:rsidRPr="007463D6" w:rsidRDefault="00B220AF" w:rsidP="00D902E9">
      <w:pPr>
        <w:pStyle w:val="Paragraphedeliste"/>
        <w:numPr>
          <w:ilvl w:val="0"/>
          <w:numId w:val="6"/>
        </w:numPr>
      </w:pPr>
      <w:bookmarkStart w:id="50" w:name="_Toc532886398"/>
      <w:r>
        <w:t>V</w:t>
      </w:r>
      <w:r w:rsidR="00DB6017" w:rsidRPr="007463D6">
        <w:t>eille au strict respect des règles informatiques applicables ;</w:t>
      </w:r>
      <w:bookmarkEnd w:id="50"/>
    </w:p>
    <w:p w14:paraId="3E96BB21" w14:textId="77777777" w:rsidR="00DB6017" w:rsidRPr="007463D6" w:rsidRDefault="00B220AF" w:rsidP="00D902E9">
      <w:pPr>
        <w:pStyle w:val="Paragraphedeliste"/>
        <w:numPr>
          <w:ilvl w:val="0"/>
          <w:numId w:val="6"/>
        </w:numPr>
      </w:pPr>
      <w:bookmarkStart w:id="51" w:name="_Toc532886399"/>
      <w:r>
        <w:t>S</w:t>
      </w:r>
      <w:r w:rsidR="00DB6017" w:rsidRPr="007463D6">
        <w:t>’assure que les informations et documents appartenant à la société ne soient pas visibles par des tiers, sur quelque support que ce soit ;</w:t>
      </w:r>
      <w:bookmarkEnd w:id="51"/>
    </w:p>
    <w:p w14:paraId="3795BC8D" w14:textId="77777777" w:rsidR="00DB6017" w:rsidRPr="007463D6" w:rsidRDefault="00B220AF" w:rsidP="00D902E9">
      <w:pPr>
        <w:pStyle w:val="Paragraphedeliste"/>
        <w:numPr>
          <w:ilvl w:val="0"/>
          <w:numId w:val="6"/>
        </w:numPr>
      </w:pPr>
      <w:bookmarkStart w:id="52" w:name="_Toc532886400"/>
      <w:r>
        <w:t>S</w:t>
      </w:r>
      <w:r w:rsidR="00DB6017" w:rsidRPr="007463D6">
        <w:t>’engage à n’utiliser le matériel mis à disposition qu’à des fins professionnelles, en dehors de toute utilisation abusive ou frauduleuse.</w:t>
      </w:r>
      <w:bookmarkEnd w:id="52"/>
    </w:p>
    <w:p w14:paraId="066F45B8" w14:textId="77777777" w:rsidR="00B72F20" w:rsidRPr="007463D6" w:rsidRDefault="00B72F20" w:rsidP="00D902E9"/>
    <w:p w14:paraId="75D244CF" w14:textId="77777777" w:rsidR="00B72F20" w:rsidRPr="007463D6" w:rsidRDefault="00B72F20" w:rsidP="00D902E9">
      <w:pPr>
        <w:pStyle w:val="Titre3"/>
      </w:pPr>
      <w:bookmarkStart w:id="53" w:name="_Toc532886401"/>
      <w:bookmarkStart w:id="54" w:name="_Toc532888208"/>
      <w:r w:rsidRPr="007463D6">
        <w:t>7.</w:t>
      </w:r>
      <w:r w:rsidR="003D734D">
        <w:t>5</w:t>
      </w:r>
      <w:r w:rsidR="00000EEC" w:rsidRPr="007463D6">
        <w:t xml:space="preserve"> </w:t>
      </w:r>
      <w:r w:rsidRPr="007463D6">
        <w:t xml:space="preserve">Accident </w:t>
      </w:r>
      <w:r w:rsidR="00DB6017" w:rsidRPr="007463D6">
        <w:t>de Travail</w:t>
      </w:r>
      <w:bookmarkEnd w:id="53"/>
      <w:bookmarkEnd w:id="54"/>
    </w:p>
    <w:p w14:paraId="1EA6B668" w14:textId="77777777" w:rsidR="00B72F20" w:rsidRPr="007463D6" w:rsidRDefault="00B72F20" w:rsidP="00D902E9">
      <w:pPr>
        <w:spacing w:after="0"/>
      </w:pPr>
    </w:p>
    <w:p w14:paraId="7CB07B56" w14:textId="77777777" w:rsidR="00DB6017" w:rsidRDefault="00DB6017" w:rsidP="00D902E9">
      <w:pPr>
        <w:spacing w:after="0"/>
      </w:pPr>
      <w:r w:rsidRPr="007463D6">
        <w:t xml:space="preserve">Conformément aux dispositions de l’article L. 1222-9 du </w:t>
      </w:r>
      <w:r w:rsidR="00234F32" w:rsidRPr="007463D6">
        <w:t>C</w:t>
      </w:r>
      <w:r w:rsidRPr="007463D6">
        <w:t xml:space="preserve">ode du travail, l’accident survenu sur le lieu où est exercé le télétravail pendant l’exercice de l’activité professionnelle du télétravailleur est présumé être un accident du travail au sens des dispositions de l’article L. 411-1 du code de la sécurité sociale. </w:t>
      </w:r>
    </w:p>
    <w:p w14:paraId="19787DFE" w14:textId="77777777" w:rsidR="00D902E9" w:rsidRPr="007463D6" w:rsidRDefault="00D902E9" w:rsidP="00D902E9">
      <w:pPr>
        <w:spacing w:after="0"/>
      </w:pPr>
    </w:p>
    <w:p w14:paraId="3E86348B" w14:textId="77777777" w:rsidR="00DB6017" w:rsidRPr="007463D6" w:rsidRDefault="00DB6017" w:rsidP="00D902E9">
      <w:r w:rsidRPr="007463D6">
        <w:t xml:space="preserve">Par ailleurs, il est précisé que le télétravailleur est couvert au titre de la législation sur les accidents de travail dès lors qu’il se déplace pour se rendre dans les locaux de l’entreprise ou dans le cadre de tout autre déplacement qu’il est amené à faire dans l’exercice de ses missions. </w:t>
      </w:r>
    </w:p>
    <w:p w14:paraId="6C127440" w14:textId="77777777" w:rsidR="00F8292B" w:rsidRDefault="00DB6017" w:rsidP="00D902E9">
      <w:r w:rsidRPr="007463D6">
        <w:t>Le salarié doit informer son responsable hiérarchique de l’accident conformément aux dispositions en vigueur au sein de sa société et transmettre tous les éléments d’information nécessaires à l’élaboration d’une décla</w:t>
      </w:r>
      <w:r w:rsidR="00373181">
        <w:t xml:space="preserve">ration d’accident du travail. </w:t>
      </w:r>
    </w:p>
    <w:p w14:paraId="1B02B071" w14:textId="77777777" w:rsidR="00373181" w:rsidRDefault="00373181" w:rsidP="00D902E9"/>
    <w:p w14:paraId="513795D3" w14:textId="77777777" w:rsidR="002E606B" w:rsidRPr="004C541E" w:rsidRDefault="004C541E" w:rsidP="00D902E9">
      <w:pPr>
        <w:pStyle w:val="Titre2"/>
      </w:pPr>
      <w:bookmarkStart w:id="55" w:name="_Toc532886402"/>
      <w:bookmarkStart w:id="56" w:name="_Toc532888209"/>
      <w:r w:rsidRPr="004C541E">
        <w:t>Article 8 – Sensibilisation</w:t>
      </w:r>
      <w:bookmarkEnd w:id="55"/>
      <w:bookmarkEnd w:id="56"/>
    </w:p>
    <w:p w14:paraId="5C7B9106" w14:textId="77777777" w:rsidR="004C541E" w:rsidRDefault="004C541E" w:rsidP="00D902E9">
      <w:pPr>
        <w:pStyle w:val="Sansinterligne"/>
      </w:pPr>
    </w:p>
    <w:p w14:paraId="0B777710" w14:textId="77777777" w:rsidR="004C541E" w:rsidRPr="004C541E" w:rsidRDefault="004C541E" w:rsidP="00D902E9">
      <w:r w:rsidRPr="004C541E">
        <w:t>Le télétravail étant un mode d’organisation du travail à part entière, la sensibilisation des télétravailleurs et de leur supérieur hiérarchique à ses objectifs et modalités de mise en œuvre est une condition de sa réussite.</w:t>
      </w:r>
    </w:p>
    <w:p w14:paraId="2AAC4426" w14:textId="77777777" w:rsidR="004C541E" w:rsidRPr="00EE374B" w:rsidRDefault="004C541E" w:rsidP="00D902E9">
      <w:r w:rsidRPr="00EE374B">
        <w:t>De même, il sera mis à la disposition des salariés et des supérieurs hiérarchiques concernés un guide sur le télétravail.</w:t>
      </w:r>
    </w:p>
    <w:p w14:paraId="2DBF3FDF" w14:textId="77777777" w:rsidR="006F7DB3" w:rsidRPr="00EE374B" w:rsidRDefault="004C541E" w:rsidP="00D902E9">
      <w:r w:rsidRPr="007313A6">
        <w:t>Enfin, chaque</w:t>
      </w:r>
      <w:r w:rsidR="00EE374B" w:rsidRPr="007313A6">
        <w:t xml:space="preserve"> nouveau </w:t>
      </w:r>
      <w:r w:rsidRPr="007313A6">
        <w:t>supérieur hiérarchique suivra un module digital sur l’animation du télétravail.</w:t>
      </w:r>
    </w:p>
    <w:p w14:paraId="7EBED0A5" w14:textId="77777777" w:rsidR="00F70D79" w:rsidRPr="007463D6" w:rsidRDefault="005A11D1" w:rsidP="00D902E9">
      <w:pPr>
        <w:pStyle w:val="Titre2"/>
      </w:pPr>
      <w:bookmarkStart w:id="57" w:name="_Toc532886403"/>
      <w:bookmarkStart w:id="58" w:name="_Toc532888210"/>
      <w:r w:rsidRPr="007463D6">
        <w:lastRenderedPageBreak/>
        <w:t>Article</w:t>
      </w:r>
      <w:r w:rsidR="00940E33" w:rsidRPr="007463D6">
        <w:t xml:space="preserve"> </w:t>
      </w:r>
      <w:r w:rsidR="004C541E">
        <w:t>9</w:t>
      </w:r>
      <w:r w:rsidR="00D1584B" w:rsidRPr="007463D6">
        <w:t>-</w:t>
      </w:r>
      <w:r w:rsidR="00253597" w:rsidRPr="007463D6">
        <w:t xml:space="preserve"> </w:t>
      </w:r>
      <w:r w:rsidR="00EE7908" w:rsidRPr="007463D6">
        <w:t xml:space="preserve">Suivi de l’accord </w:t>
      </w:r>
      <w:r w:rsidR="00EC2397" w:rsidRPr="007463D6">
        <w:t>- Bilan</w:t>
      </w:r>
      <w:bookmarkEnd w:id="57"/>
      <w:bookmarkEnd w:id="58"/>
    </w:p>
    <w:p w14:paraId="795744BF" w14:textId="77777777" w:rsidR="00EC2397" w:rsidRPr="007463D6" w:rsidRDefault="00EC2397" w:rsidP="00D902E9">
      <w:pPr>
        <w:pStyle w:val="Sansinterligne"/>
      </w:pPr>
    </w:p>
    <w:p w14:paraId="23F54880" w14:textId="3E96A3F9" w:rsidR="00EC2397" w:rsidRPr="007313A6" w:rsidRDefault="00F346B3" w:rsidP="00D902E9">
      <w:r w:rsidRPr="007463D6">
        <w:t xml:space="preserve">Dans le cadre du suivi du présent accord sur </w:t>
      </w:r>
      <w:r w:rsidR="00EE7908" w:rsidRPr="007463D6">
        <w:t xml:space="preserve">le </w:t>
      </w:r>
      <w:r w:rsidRPr="007463D6">
        <w:t>télétravail</w:t>
      </w:r>
      <w:r w:rsidR="00EE7908" w:rsidRPr="007463D6">
        <w:t xml:space="preserve">, les parties conviennent des dispositions </w:t>
      </w:r>
      <w:r w:rsidR="00EE7908" w:rsidRPr="007313A6">
        <w:t>suivantes</w:t>
      </w:r>
      <w:r w:rsidRPr="007313A6">
        <w:t> :</w:t>
      </w:r>
    </w:p>
    <w:p w14:paraId="054109E6" w14:textId="77777777" w:rsidR="007313A6" w:rsidRPr="000B4533" w:rsidRDefault="00EE7908" w:rsidP="00FC1ED8">
      <w:pPr>
        <w:pStyle w:val="Paragraphedeliste"/>
        <w:numPr>
          <w:ilvl w:val="0"/>
          <w:numId w:val="7"/>
        </w:numPr>
        <w:rPr>
          <w:strike/>
          <w:color w:val="FF0000"/>
        </w:rPr>
      </w:pPr>
      <w:r w:rsidRPr="000B4533">
        <w:t>L</w:t>
      </w:r>
      <w:r w:rsidR="00F346B3" w:rsidRPr="000B4533">
        <w:t xml:space="preserve">ors de la réunion ordinaire </w:t>
      </w:r>
      <w:r w:rsidR="00BF1D98" w:rsidRPr="000B4533">
        <w:t xml:space="preserve">du </w:t>
      </w:r>
      <w:r w:rsidR="00843EAA" w:rsidRPr="000B4533">
        <w:t>CSEE</w:t>
      </w:r>
      <w:r w:rsidR="00B220AF" w:rsidRPr="000B4533">
        <w:t xml:space="preserve"> </w:t>
      </w:r>
      <w:r w:rsidR="007463D6" w:rsidRPr="000B4533">
        <w:t xml:space="preserve">du mois </w:t>
      </w:r>
      <w:r w:rsidR="00843EAA" w:rsidRPr="000B4533">
        <w:t xml:space="preserve">de </w:t>
      </w:r>
      <w:r w:rsidR="00C33E97" w:rsidRPr="000B4533">
        <w:t xml:space="preserve">juillet </w:t>
      </w:r>
      <w:r w:rsidR="00843EAA" w:rsidRPr="000B4533">
        <w:t>des années 2020, 2021 et 2022</w:t>
      </w:r>
      <w:r w:rsidR="00F346B3" w:rsidRPr="000B4533">
        <w:t xml:space="preserve">, la DRH présentera un </w:t>
      </w:r>
      <w:r w:rsidRPr="000B4533">
        <w:t>bilan</w:t>
      </w:r>
      <w:r w:rsidR="00843EAA" w:rsidRPr="000B4533">
        <w:t xml:space="preserve"> annuel télétravail.</w:t>
      </w:r>
      <w:r w:rsidRPr="000B4533">
        <w:t xml:space="preserve"> </w:t>
      </w:r>
    </w:p>
    <w:p w14:paraId="32E2E16F" w14:textId="77777777" w:rsidR="000A0F96" w:rsidRPr="007463D6" w:rsidRDefault="00EE7908" w:rsidP="00D902E9">
      <w:r w:rsidRPr="007463D6">
        <w:t>Ce bilan comportera </w:t>
      </w:r>
      <w:r w:rsidR="00B220AF">
        <w:t xml:space="preserve">notamment </w:t>
      </w:r>
      <w:r w:rsidRPr="007463D6">
        <w:t xml:space="preserve">: </w:t>
      </w:r>
    </w:p>
    <w:p w14:paraId="44EF1B91" w14:textId="77777777" w:rsidR="00EE7908" w:rsidRPr="007463D6" w:rsidRDefault="00B220AF" w:rsidP="00D902E9">
      <w:pPr>
        <w:pStyle w:val="Paragraphedeliste"/>
        <w:numPr>
          <w:ilvl w:val="0"/>
          <w:numId w:val="8"/>
        </w:numPr>
      </w:pPr>
      <w:r>
        <w:t>L</w:t>
      </w:r>
      <w:r w:rsidR="00EE7908" w:rsidRPr="007463D6">
        <w:t>e nombre de salariés qui se sont portés volontaires au télétravail</w:t>
      </w:r>
      <w:r>
        <w:t> ;</w:t>
      </w:r>
      <w:r w:rsidR="00EE7908" w:rsidRPr="007463D6">
        <w:t xml:space="preserve"> </w:t>
      </w:r>
    </w:p>
    <w:p w14:paraId="24016504" w14:textId="77777777" w:rsidR="00EE7908" w:rsidRPr="007463D6" w:rsidRDefault="00B220AF" w:rsidP="00D902E9">
      <w:pPr>
        <w:pStyle w:val="Paragraphedeliste"/>
        <w:numPr>
          <w:ilvl w:val="0"/>
          <w:numId w:val="8"/>
        </w:numPr>
      </w:pPr>
      <w:r>
        <w:t>L</w:t>
      </w:r>
      <w:r w:rsidR="00EC2397" w:rsidRPr="007463D6">
        <w:t>e nombre d’acceptations</w:t>
      </w:r>
      <w:r>
        <w:t> ;</w:t>
      </w:r>
    </w:p>
    <w:p w14:paraId="648D0E09" w14:textId="77777777" w:rsidR="00EE7908" w:rsidRPr="007463D6" w:rsidRDefault="00B220AF" w:rsidP="00D902E9">
      <w:pPr>
        <w:pStyle w:val="Paragraphedeliste"/>
        <w:numPr>
          <w:ilvl w:val="0"/>
          <w:numId w:val="8"/>
        </w:numPr>
      </w:pPr>
      <w:r>
        <w:t>L</w:t>
      </w:r>
      <w:r w:rsidR="00EE7908" w:rsidRPr="007463D6">
        <w:t>e nombre de refus</w:t>
      </w:r>
      <w:r>
        <w:t> ;</w:t>
      </w:r>
    </w:p>
    <w:p w14:paraId="12606955" w14:textId="77777777" w:rsidR="005C0B19" w:rsidRDefault="00B220AF" w:rsidP="00D902E9">
      <w:pPr>
        <w:pStyle w:val="Paragraphedeliste"/>
        <w:numPr>
          <w:ilvl w:val="0"/>
          <w:numId w:val="8"/>
        </w:numPr>
      </w:pPr>
      <w:r>
        <w:t>L</w:t>
      </w:r>
      <w:r w:rsidR="00EE7908" w:rsidRPr="007463D6">
        <w:t>e nombre de réversibilités</w:t>
      </w:r>
      <w:r w:rsidR="00843EAA">
        <w:t> ;</w:t>
      </w:r>
    </w:p>
    <w:p w14:paraId="17B5913D" w14:textId="77777777" w:rsidR="00432C6A" w:rsidRPr="00B220AF" w:rsidRDefault="00432C6A" w:rsidP="00D902E9">
      <w:pPr>
        <w:pStyle w:val="Paragraphedeliste"/>
        <w:numPr>
          <w:ilvl w:val="0"/>
          <w:numId w:val="8"/>
        </w:numPr>
      </w:pPr>
      <w:r>
        <w:t>……</w:t>
      </w:r>
    </w:p>
    <w:p w14:paraId="076F4057" w14:textId="77777777" w:rsidR="00000C66" w:rsidRPr="007463D6" w:rsidRDefault="00000C66" w:rsidP="00D902E9">
      <w:pPr>
        <w:pStyle w:val="Titre2"/>
      </w:pPr>
      <w:bookmarkStart w:id="59" w:name="_Toc532886404"/>
      <w:bookmarkStart w:id="60" w:name="_Toc532888211"/>
      <w:r w:rsidRPr="007463D6">
        <w:t xml:space="preserve">Article </w:t>
      </w:r>
      <w:r w:rsidR="004C541E">
        <w:t>10</w:t>
      </w:r>
      <w:r w:rsidR="00253597" w:rsidRPr="007463D6">
        <w:t xml:space="preserve"> </w:t>
      </w:r>
      <w:r w:rsidR="00D1584B" w:rsidRPr="007463D6">
        <w:t>-</w:t>
      </w:r>
      <w:r w:rsidRPr="007463D6">
        <w:t xml:space="preserve"> Durée</w:t>
      </w:r>
      <w:r w:rsidR="00940E33" w:rsidRPr="007463D6">
        <w:t xml:space="preserve"> </w:t>
      </w:r>
      <w:r w:rsidR="00D0651B" w:rsidRPr="007463D6">
        <w:t xml:space="preserve">et entrée en vigueur </w:t>
      </w:r>
      <w:r w:rsidRPr="007463D6">
        <w:t>de l’accord</w:t>
      </w:r>
      <w:bookmarkEnd w:id="59"/>
      <w:bookmarkEnd w:id="60"/>
    </w:p>
    <w:p w14:paraId="52040339" w14:textId="77777777" w:rsidR="00000C66" w:rsidRPr="007463D6" w:rsidRDefault="00000C66" w:rsidP="00D902E9">
      <w:pPr>
        <w:pStyle w:val="Sansinterligne"/>
      </w:pPr>
    </w:p>
    <w:p w14:paraId="7EFC95B1" w14:textId="77777777" w:rsidR="00C34247" w:rsidRPr="007463D6" w:rsidRDefault="003D734D" w:rsidP="00D902E9">
      <w:r>
        <w:t xml:space="preserve">Le présent accord </w:t>
      </w:r>
      <w:r w:rsidR="00EE7908" w:rsidRPr="007463D6">
        <w:t>prendra effet</w:t>
      </w:r>
      <w:r w:rsidR="00716070" w:rsidRPr="007463D6">
        <w:t xml:space="preserve"> à co</w:t>
      </w:r>
      <w:r w:rsidR="00AA00E8" w:rsidRPr="007463D6">
        <w:t xml:space="preserve">mpter </w:t>
      </w:r>
      <w:r w:rsidR="00716109">
        <w:t xml:space="preserve">de la date de sa signature </w:t>
      </w:r>
      <w:r w:rsidR="00EE7908" w:rsidRPr="007463D6">
        <w:t xml:space="preserve">et s’appliquera </w:t>
      </w:r>
      <w:r w:rsidR="007463D6" w:rsidRPr="007463D6">
        <w:t xml:space="preserve">jusqu’au 31 </w:t>
      </w:r>
      <w:r w:rsidR="00C33E97">
        <w:t xml:space="preserve">mai </w:t>
      </w:r>
      <w:r w:rsidR="006A3133">
        <w:t>202</w:t>
      </w:r>
      <w:r w:rsidR="00C33E97">
        <w:t>3</w:t>
      </w:r>
      <w:r w:rsidR="00836F25" w:rsidRPr="007463D6">
        <w:t xml:space="preserve">. </w:t>
      </w:r>
      <w:r w:rsidR="00000C66" w:rsidRPr="007463D6">
        <w:t>Il ne produira plus d’ef</w:t>
      </w:r>
      <w:r w:rsidR="009E2F06" w:rsidRPr="007463D6">
        <w:t>fets à compter de cette date.</w:t>
      </w:r>
    </w:p>
    <w:p w14:paraId="3B07AE66" w14:textId="77777777" w:rsidR="00022B22" w:rsidRDefault="008E3DF6" w:rsidP="00D902E9">
      <w:r w:rsidRPr="007463D6">
        <w:t>Toutefois, l</w:t>
      </w:r>
      <w:r w:rsidR="003F0F40" w:rsidRPr="007463D6">
        <w:t xml:space="preserve">es parties conviennent que </w:t>
      </w:r>
      <w:r w:rsidR="004E38E3" w:rsidRPr="007463D6">
        <w:t>trois</w:t>
      </w:r>
      <w:r w:rsidR="00E707D8" w:rsidRPr="007463D6">
        <w:t xml:space="preserve"> mois</w:t>
      </w:r>
      <w:r w:rsidR="004E38E3" w:rsidRPr="007463D6">
        <w:t>, au plus tard,</w:t>
      </w:r>
      <w:r w:rsidR="00E707D8" w:rsidRPr="007463D6">
        <w:t xml:space="preserve"> avant la date d’échéance de l’accord, elles se</w:t>
      </w:r>
      <w:r w:rsidR="001B0041" w:rsidRPr="007463D6">
        <w:t xml:space="preserve"> </w:t>
      </w:r>
      <w:r w:rsidR="00E707D8" w:rsidRPr="007463D6">
        <w:t>rencontreront</w:t>
      </w:r>
      <w:r w:rsidR="003F0F40" w:rsidRPr="007463D6">
        <w:t>, à l’initiative de la</w:t>
      </w:r>
      <w:r w:rsidR="00716109">
        <w:t xml:space="preserve"> Direction</w:t>
      </w:r>
      <w:r w:rsidR="003F0F40" w:rsidRPr="007463D6">
        <w:t>,</w:t>
      </w:r>
      <w:r w:rsidR="00E707D8" w:rsidRPr="007463D6">
        <w:t xml:space="preserve"> pour négocier éventuellement les conditions et la durée de son renouvellement.</w:t>
      </w:r>
    </w:p>
    <w:p w14:paraId="75113BF8" w14:textId="77777777" w:rsidR="007463D6" w:rsidRPr="007463D6" w:rsidRDefault="004C541E" w:rsidP="00D902E9">
      <w:pPr>
        <w:pStyle w:val="Titre2"/>
      </w:pPr>
      <w:bookmarkStart w:id="61" w:name="_Toc532886405"/>
      <w:bookmarkStart w:id="62" w:name="_Toc532888212"/>
      <w:r>
        <w:t>Article 11</w:t>
      </w:r>
      <w:r w:rsidR="007463D6" w:rsidRPr="007463D6">
        <w:t xml:space="preserve"> - Révision</w:t>
      </w:r>
      <w:bookmarkEnd w:id="61"/>
      <w:bookmarkEnd w:id="62"/>
    </w:p>
    <w:p w14:paraId="313685AB" w14:textId="77777777" w:rsidR="007463D6" w:rsidRPr="007463D6" w:rsidRDefault="007463D6" w:rsidP="00D902E9">
      <w:pPr>
        <w:pStyle w:val="Sansinterligne"/>
      </w:pPr>
    </w:p>
    <w:p w14:paraId="48868610" w14:textId="01917D69" w:rsidR="00022B22" w:rsidRDefault="007463D6" w:rsidP="00E46A1A">
      <w:r w:rsidRPr="007463D6">
        <w:t xml:space="preserve">Chaque partie signataire ou adhérente peut demander la révision de tout ou partie de l’accord. Les dispositions de l’accord dont la révision est demandée resteront en vigueur jusqu’à la conclusion d’un avenant de révision ou jusqu’à son terme. </w:t>
      </w:r>
    </w:p>
    <w:p w14:paraId="6BD1EED9" w14:textId="77777777" w:rsidR="007463D6" w:rsidRPr="00C33E97" w:rsidRDefault="004C541E" w:rsidP="00C33E97">
      <w:pPr>
        <w:pStyle w:val="Titre2"/>
      </w:pPr>
      <w:bookmarkStart w:id="63" w:name="_Toc532886406"/>
      <w:bookmarkStart w:id="64" w:name="_Toc532888213"/>
      <w:r>
        <w:t>Article 12</w:t>
      </w:r>
      <w:r w:rsidR="007463D6" w:rsidRPr="007463D6">
        <w:t xml:space="preserve"> – Dépôt</w:t>
      </w:r>
      <w:bookmarkEnd w:id="63"/>
      <w:bookmarkEnd w:id="64"/>
      <w:r w:rsidR="007463D6" w:rsidRPr="007463D6">
        <w:t xml:space="preserve"> </w:t>
      </w:r>
    </w:p>
    <w:p w14:paraId="6FC4EF45" w14:textId="77777777" w:rsidR="007463D6" w:rsidRPr="007463D6" w:rsidRDefault="007463D6" w:rsidP="00D902E9">
      <w:pPr>
        <w:pStyle w:val="Sansinterligne"/>
      </w:pPr>
    </w:p>
    <w:p w14:paraId="3EA4205E" w14:textId="28D3EA16" w:rsidR="000B4533" w:rsidRDefault="007463D6" w:rsidP="00D902E9">
      <w:r w:rsidRPr="007463D6">
        <w:t>La validité du présent accord est subordonnée aux conditions précisées par l’article L.2232-12 du Code du travail. Dès lors que ces conditions seront remplies, il sera déposé à la DIRECCTE, ainsi qu'au greffe du conseil de prud'hommes, compétents dans les conditions des articles D. 2231-2 et D 2231-7 du Code du travail.</w:t>
      </w:r>
    </w:p>
    <w:p w14:paraId="4584D519" w14:textId="77777777" w:rsidR="00E46A1A" w:rsidRDefault="00E46A1A" w:rsidP="00D902E9"/>
    <w:p w14:paraId="1452AEAC" w14:textId="3026D4A2" w:rsidR="00AA00E8" w:rsidRPr="004C0A30" w:rsidRDefault="00AA00E8" w:rsidP="00D902E9">
      <w:r w:rsidRPr="004C0A30">
        <w:t xml:space="preserve">Fait à Saint-Étienne, </w:t>
      </w:r>
      <w:r w:rsidR="004C0A30" w:rsidRPr="004C0A30">
        <w:t>le 23/03/2020</w:t>
      </w:r>
    </w:p>
    <w:p w14:paraId="4303B548" w14:textId="72EC4B17" w:rsidR="00AA00E8" w:rsidRPr="007463D6" w:rsidRDefault="00AA00E8" w:rsidP="00D902E9">
      <w:r w:rsidRPr="007463D6">
        <w:t>Pou</w:t>
      </w:r>
      <w:r w:rsidR="00203087">
        <w:t xml:space="preserve">r les Organisations Syndicales </w:t>
      </w:r>
      <w:r w:rsidR="00203087">
        <w:tab/>
      </w:r>
      <w:r w:rsidR="00D902E9">
        <w:tab/>
      </w:r>
      <w:r w:rsidR="00D902E9">
        <w:tab/>
      </w:r>
      <w:r w:rsidR="004B4D93">
        <w:t xml:space="preserve">         </w:t>
      </w:r>
      <w:r w:rsidR="00E46A1A">
        <w:t xml:space="preserve">             </w:t>
      </w:r>
      <w:r w:rsidRPr="007463D6">
        <w:t>Pour la Direction</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716109" w14:paraId="42B6F946" w14:textId="77777777" w:rsidTr="00716109">
        <w:tc>
          <w:tcPr>
            <w:tcW w:w="5353" w:type="dxa"/>
          </w:tcPr>
          <w:p w14:paraId="004E58DC" w14:textId="77777777" w:rsidR="00C33E97" w:rsidRDefault="00C33E97" w:rsidP="00E46A1A">
            <w:pPr>
              <w:spacing w:after="0" w:line="240" w:lineRule="auto"/>
            </w:pPr>
            <w:r w:rsidRPr="00716109">
              <w:t>Syndicat</w:t>
            </w:r>
            <w:r>
              <w:t xml:space="preserve"> CFE-CGC</w:t>
            </w:r>
          </w:p>
          <w:p w14:paraId="58B3B142" w14:textId="7439987A" w:rsidR="00C33E97" w:rsidRDefault="00C33E97" w:rsidP="00E46A1A">
            <w:pPr>
              <w:spacing w:after="0" w:line="240" w:lineRule="auto"/>
            </w:pPr>
            <w:r>
              <w:t>M</w:t>
            </w:r>
            <w:r w:rsidR="00513BF1">
              <w:t>. --------------------------------</w:t>
            </w:r>
          </w:p>
          <w:p w14:paraId="00512399" w14:textId="77777777" w:rsidR="00E46A1A" w:rsidRDefault="00E46A1A" w:rsidP="00E46A1A">
            <w:pPr>
              <w:spacing w:after="0" w:line="240" w:lineRule="auto"/>
            </w:pPr>
          </w:p>
          <w:p w14:paraId="2E214F82" w14:textId="77777777" w:rsidR="00E46A1A" w:rsidRDefault="00E46A1A" w:rsidP="00E46A1A">
            <w:pPr>
              <w:spacing w:after="0" w:line="240" w:lineRule="auto"/>
            </w:pPr>
            <w:r w:rsidRPr="00716109">
              <w:t>Syndicat</w:t>
            </w:r>
            <w:r>
              <w:t xml:space="preserve"> CGT</w:t>
            </w:r>
          </w:p>
          <w:p w14:paraId="1946BDCE" w14:textId="77777777" w:rsidR="00716109" w:rsidRDefault="00E46A1A" w:rsidP="00513BF1">
            <w:pPr>
              <w:spacing w:after="0" w:line="240" w:lineRule="auto"/>
            </w:pPr>
            <w:r>
              <w:t>M</w:t>
            </w:r>
            <w:r w:rsidR="00513BF1">
              <w:t>. --------------------------------</w:t>
            </w:r>
          </w:p>
          <w:p w14:paraId="00A419CF" w14:textId="75214AFD" w:rsidR="00513BF1" w:rsidRDefault="00513BF1" w:rsidP="00513BF1">
            <w:pPr>
              <w:spacing w:after="0" w:line="240" w:lineRule="auto"/>
            </w:pPr>
          </w:p>
        </w:tc>
        <w:tc>
          <w:tcPr>
            <w:tcW w:w="4394" w:type="dxa"/>
          </w:tcPr>
          <w:p w14:paraId="327EBA1F" w14:textId="3FE6072B" w:rsidR="00716109" w:rsidRDefault="00E46A1A" w:rsidP="00513BF1">
            <w:r>
              <w:t xml:space="preserve">            </w:t>
            </w:r>
            <w:r w:rsidR="00C33E97">
              <w:t>M</w:t>
            </w:r>
            <w:r w:rsidR="00513BF1">
              <w:t>. ---------------------------------</w:t>
            </w:r>
          </w:p>
        </w:tc>
      </w:tr>
    </w:tbl>
    <w:p w14:paraId="506954C1" w14:textId="77777777" w:rsidR="00D1584B" w:rsidRPr="00203087" w:rsidRDefault="003D734D" w:rsidP="00D902E9">
      <w:pPr>
        <w:pStyle w:val="Titre2"/>
      </w:pPr>
      <w:bookmarkStart w:id="65" w:name="_Toc532886407"/>
      <w:bookmarkStart w:id="66" w:name="_Toc532888214"/>
      <w:r w:rsidRPr="00203087">
        <w:lastRenderedPageBreak/>
        <w:t>Annexe 1</w:t>
      </w:r>
      <w:bookmarkEnd w:id="65"/>
      <w:bookmarkEnd w:id="66"/>
      <w:r w:rsidRPr="00203087">
        <w:t xml:space="preserve"> </w:t>
      </w:r>
    </w:p>
    <w:p w14:paraId="73E54168" w14:textId="77777777" w:rsidR="003D734D" w:rsidRDefault="003D734D" w:rsidP="00D902E9"/>
    <w:p w14:paraId="3D0B360E" w14:textId="6495D06C" w:rsidR="003D734D" w:rsidRDefault="003D734D" w:rsidP="00D902E9">
      <w:r w:rsidRPr="003D734D">
        <w:t xml:space="preserve">A titre indicatif, </w:t>
      </w:r>
      <w:r w:rsidR="004C0A30">
        <w:t xml:space="preserve">et pour rappel, </w:t>
      </w:r>
      <w:r w:rsidRPr="003D734D">
        <w:t xml:space="preserve">il est précisé ci-dessous la liste des </w:t>
      </w:r>
      <w:r>
        <w:t xml:space="preserve">métiers </w:t>
      </w:r>
      <w:r w:rsidRPr="003D734D">
        <w:t>non éligibles au télétravail au sein de l’établissement</w:t>
      </w:r>
      <w:r w:rsidR="00511AFB">
        <w:t xml:space="preserve"> DSI </w:t>
      </w:r>
      <w:r w:rsidR="00BA78D9">
        <w:t>–</w:t>
      </w:r>
      <w:r w:rsidR="00511AFB">
        <w:t xml:space="preserve"> DCF</w:t>
      </w:r>
      <w:r w:rsidR="00BA78D9">
        <w:t>, lors de la dernière année de l’accord 2017/2020.</w:t>
      </w:r>
    </w:p>
    <w:p w14:paraId="722599EA" w14:textId="77777777" w:rsidR="003D734D" w:rsidRDefault="003D734D" w:rsidP="00D902E9">
      <w:r>
        <w:t xml:space="preserve">Cette liste pourra être complétée le cas échéant par de nouveaux métiers </w:t>
      </w:r>
      <w:r w:rsidR="00FB224F">
        <w:t xml:space="preserve">qui pourraient être créés. </w:t>
      </w:r>
    </w:p>
    <w:p w14:paraId="278E9641" w14:textId="77777777" w:rsidR="00511AFB" w:rsidRPr="003D734D" w:rsidRDefault="00511AFB" w:rsidP="00D902E9"/>
    <w:p w14:paraId="2426F2FD" w14:textId="77777777" w:rsidR="003D734D" w:rsidRPr="003D734D" w:rsidRDefault="00511AFB" w:rsidP="004338A8">
      <w:pPr>
        <w:ind w:left="709"/>
      </w:pPr>
      <w:r>
        <w:t xml:space="preserve">- </w:t>
      </w:r>
      <w:r w:rsidRPr="00511AFB">
        <w:t>Intervenants Data center</w:t>
      </w:r>
      <w:r>
        <w:t> </w:t>
      </w:r>
    </w:p>
    <w:p w14:paraId="0544904E" w14:textId="77777777" w:rsidR="00511AFB" w:rsidRPr="00511AFB" w:rsidRDefault="00511AFB" w:rsidP="004338A8">
      <w:pPr>
        <w:ind w:left="709"/>
      </w:pPr>
      <w:r>
        <w:t xml:space="preserve">- </w:t>
      </w:r>
      <w:r w:rsidRPr="003D734D">
        <w:t xml:space="preserve">Support </w:t>
      </w:r>
      <w:r w:rsidRPr="00511AFB">
        <w:t>N2 Equipements équipe encaissement</w:t>
      </w:r>
    </w:p>
    <w:p w14:paraId="3260C340" w14:textId="77777777" w:rsidR="00511AFB" w:rsidRDefault="00511AFB" w:rsidP="004338A8">
      <w:pPr>
        <w:ind w:left="709"/>
      </w:pPr>
      <w:r>
        <w:t xml:space="preserve">- </w:t>
      </w:r>
      <w:r w:rsidRPr="00511AFB">
        <w:t xml:space="preserve">Sec info </w:t>
      </w:r>
    </w:p>
    <w:p w14:paraId="452F2998" w14:textId="77777777" w:rsidR="00511AFB" w:rsidRPr="00511AFB" w:rsidRDefault="00511AFB" w:rsidP="004338A8">
      <w:pPr>
        <w:ind w:left="709"/>
      </w:pPr>
      <w:r>
        <w:t xml:space="preserve">- Opérations : </w:t>
      </w:r>
      <w:r w:rsidRPr="00511AFB">
        <w:t>Cellule des  incidents (permanents) </w:t>
      </w:r>
      <w:r>
        <w:t xml:space="preserve"> </w:t>
      </w:r>
    </w:p>
    <w:p w14:paraId="3D5B80AA" w14:textId="77777777" w:rsidR="00511AFB" w:rsidRPr="00511AFB" w:rsidRDefault="00511AFB" w:rsidP="004338A8">
      <w:pPr>
        <w:ind w:left="709"/>
      </w:pPr>
      <w:r>
        <w:t xml:space="preserve">- </w:t>
      </w:r>
      <w:r w:rsidRPr="00511AFB">
        <w:t>Services Managers</w:t>
      </w:r>
    </w:p>
    <w:p w14:paraId="7A63C86E" w14:textId="77777777" w:rsidR="00511AFB" w:rsidRPr="00511AFB" w:rsidRDefault="00511AFB" w:rsidP="004338A8">
      <w:pPr>
        <w:ind w:left="709"/>
      </w:pPr>
      <w:r>
        <w:t xml:space="preserve">- </w:t>
      </w:r>
      <w:r w:rsidRPr="003D734D">
        <w:t>Support</w:t>
      </w:r>
      <w:r w:rsidR="003D734D" w:rsidRPr="003D734D">
        <w:t xml:space="preserve"> </w:t>
      </w:r>
      <w:r>
        <w:t xml:space="preserve">N2 </w:t>
      </w:r>
      <w:r w:rsidR="003D734D" w:rsidRPr="003D734D">
        <w:t>Magasins</w:t>
      </w:r>
      <w:r w:rsidR="004338A8">
        <w:t xml:space="preserve"> </w:t>
      </w:r>
      <w:r w:rsidRPr="00511AFB">
        <w:t>- support fonctionnel</w:t>
      </w:r>
      <w:r>
        <w:t> </w:t>
      </w:r>
      <w:r w:rsidR="004338A8">
        <w:t>magasins</w:t>
      </w:r>
    </w:p>
    <w:p w14:paraId="610D1986" w14:textId="77777777" w:rsidR="00511AFB" w:rsidRPr="003D734D" w:rsidRDefault="00511AFB" w:rsidP="004338A8">
      <w:pPr>
        <w:ind w:left="709"/>
      </w:pPr>
      <w:r>
        <w:t>- E</w:t>
      </w:r>
      <w:r w:rsidRPr="00511AFB">
        <w:t xml:space="preserve">quipe support proximité et VIP  </w:t>
      </w:r>
    </w:p>
    <w:p w14:paraId="4E99035E" w14:textId="77777777" w:rsidR="003D734D" w:rsidRDefault="003D734D" w:rsidP="00D902E9"/>
    <w:p w14:paraId="5F23173F" w14:textId="77777777" w:rsidR="00A03F14" w:rsidRDefault="00511AFB" w:rsidP="00D902E9">
      <w:r>
        <w:t xml:space="preserve"> </w:t>
      </w:r>
    </w:p>
    <w:p w14:paraId="603FAD84" w14:textId="77777777" w:rsidR="00511AFB" w:rsidRPr="00511AFB" w:rsidRDefault="00511AFB" w:rsidP="00511AFB">
      <w:pPr>
        <w:spacing w:after="0" w:line="240" w:lineRule="auto"/>
        <w:jc w:val="left"/>
        <w:rPr>
          <w:rFonts w:ascii="Calibri" w:hAnsi="Calibri" w:cs="Calibri"/>
          <w:color w:val="1F497D"/>
        </w:rPr>
      </w:pPr>
    </w:p>
    <w:p w14:paraId="05F094CC" w14:textId="77777777" w:rsidR="00A03F14" w:rsidRPr="003D734D" w:rsidRDefault="00A03F14" w:rsidP="00D902E9"/>
    <w:sectPr w:rsidR="00A03F14" w:rsidRPr="003D734D" w:rsidSect="00E46A1A">
      <w:foot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C3DA" w14:textId="77777777" w:rsidR="00CD7707" w:rsidRDefault="00CD7707" w:rsidP="00D902E9">
      <w:r>
        <w:separator/>
      </w:r>
    </w:p>
  </w:endnote>
  <w:endnote w:type="continuationSeparator" w:id="0">
    <w:p w14:paraId="733AACB9" w14:textId="77777777" w:rsidR="00CD7707" w:rsidRDefault="00CD7707" w:rsidP="00D902E9">
      <w:r>
        <w:continuationSeparator/>
      </w:r>
    </w:p>
  </w:endnote>
  <w:endnote w:type="continuationNotice" w:id="1">
    <w:p w14:paraId="1F8DCFCC" w14:textId="77777777" w:rsidR="00CD7707" w:rsidRDefault="00CD7707" w:rsidP="00D9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2EB2" w14:textId="77777777" w:rsidR="00DE5827" w:rsidRDefault="00DE5827" w:rsidP="007040A9">
    <w:pPr>
      <w:pStyle w:val="Pieddepage"/>
      <w:jc w:val="center"/>
    </w:pPr>
    <w:r>
      <w:fldChar w:fldCharType="begin"/>
    </w:r>
    <w:r>
      <w:instrText>PAGE   \* MERGEFORMAT</w:instrText>
    </w:r>
    <w:r>
      <w:fldChar w:fldCharType="separate"/>
    </w:r>
    <w:r w:rsidR="00683A80">
      <w:rPr>
        <w:noProof/>
      </w:rPr>
      <w:t>1</w:t>
    </w:r>
    <w:r>
      <w:fldChar w:fldCharType="end"/>
    </w:r>
  </w:p>
  <w:p w14:paraId="678A2D71" w14:textId="77777777" w:rsidR="00DE5827" w:rsidRDefault="00DE5827" w:rsidP="00D902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2401" w14:textId="77777777" w:rsidR="00CD7707" w:rsidRDefault="00CD7707" w:rsidP="00D902E9">
      <w:r>
        <w:separator/>
      </w:r>
    </w:p>
  </w:footnote>
  <w:footnote w:type="continuationSeparator" w:id="0">
    <w:p w14:paraId="7B268864" w14:textId="77777777" w:rsidR="00CD7707" w:rsidRDefault="00CD7707" w:rsidP="00D902E9">
      <w:r>
        <w:continuationSeparator/>
      </w:r>
    </w:p>
  </w:footnote>
  <w:footnote w:type="continuationNotice" w:id="1">
    <w:p w14:paraId="37C9C23D" w14:textId="77777777" w:rsidR="00CD7707" w:rsidRDefault="00CD7707" w:rsidP="00D902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F77E5"/>
    <w:multiLevelType w:val="hybridMultilevel"/>
    <w:tmpl w:val="AC7A6B0C"/>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028DF"/>
    <w:multiLevelType w:val="hybridMultilevel"/>
    <w:tmpl w:val="5E72ACE4"/>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77886"/>
    <w:multiLevelType w:val="hybridMultilevel"/>
    <w:tmpl w:val="164CB4E6"/>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D38B5"/>
    <w:multiLevelType w:val="hybridMultilevel"/>
    <w:tmpl w:val="8E8E890C"/>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D65E4D"/>
    <w:multiLevelType w:val="hybridMultilevel"/>
    <w:tmpl w:val="40E64AB6"/>
    <w:lvl w:ilvl="0" w:tplc="A6AC8C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347B40"/>
    <w:multiLevelType w:val="hybridMultilevel"/>
    <w:tmpl w:val="55D4304E"/>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E2738A"/>
    <w:multiLevelType w:val="hybridMultilevel"/>
    <w:tmpl w:val="AE6ACABE"/>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447B40"/>
    <w:multiLevelType w:val="hybridMultilevel"/>
    <w:tmpl w:val="361AFF78"/>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F839FA"/>
    <w:multiLevelType w:val="hybridMultilevel"/>
    <w:tmpl w:val="BB649F94"/>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DD6BB2"/>
    <w:multiLevelType w:val="hybridMultilevel"/>
    <w:tmpl w:val="798C88C0"/>
    <w:lvl w:ilvl="0" w:tplc="93AA49FA">
      <w:start w:val="2"/>
      <w:numFmt w:val="bullet"/>
      <w:lvlText w:val="-"/>
      <w:lvlJc w:val="left"/>
      <w:pPr>
        <w:ind w:left="786" w:hanging="360"/>
      </w:pPr>
      <w:rPr>
        <w:rFonts w:ascii="Times New Roman" w:eastAsia="Calibri" w:hAnsi="Times New Roman" w:cs="Times New Roman"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2278CC"/>
    <w:multiLevelType w:val="hybridMultilevel"/>
    <w:tmpl w:val="179ADDDA"/>
    <w:lvl w:ilvl="0" w:tplc="DA32531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8162EB1"/>
    <w:multiLevelType w:val="hybridMultilevel"/>
    <w:tmpl w:val="95AA3DEC"/>
    <w:lvl w:ilvl="0" w:tplc="0128B8D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A6B2D3E"/>
    <w:multiLevelType w:val="hybridMultilevel"/>
    <w:tmpl w:val="E0C4816C"/>
    <w:lvl w:ilvl="0" w:tplc="DA325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2"/>
  </w:num>
  <w:num w:numId="6">
    <w:abstractNumId w:val="6"/>
  </w:num>
  <w:num w:numId="7">
    <w:abstractNumId w:val="3"/>
  </w:num>
  <w:num w:numId="8">
    <w:abstractNumId w:val="10"/>
  </w:num>
  <w:num w:numId="9">
    <w:abstractNumId w:val="8"/>
  </w:num>
  <w:num w:numId="10">
    <w:abstractNumId w:val="0"/>
  </w:num>
  <w:num w:numId="11">
    <w:abstractNumId w:val="1"/>
  </w:num>
  <w:num w:numId="12">
    <w:abstractNumId w:val="11"/>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DC"/>
    <w:rsid w:val="00000C66"/>
    <w:rsid w:val="00000EEC"/>
    <w:rsid w:val="0000322F"/>
    <w:rsid w:val="0000397A"/>
    <w:rsid w:val="00006636"/>
    <w:rsid w:val="00006BD8"/>
    <w:rsid w:val="00011DF0"/>
    <w:rsid w:val="00012778"/>
    <w:rsid w:val="00012DAA"/>
    <w:rsid w:val="00014480"/>
    <w:rsid w:val="000155C7"/>
    <w:rsid w:val="00022B22"/>
    <w:rsid w:val="0002479E"/>
    <w:rsid w:val="000271E6"/>
    <w:rsid w:val="000302E7"/>
    <w:rsid w:val="00030F87"/>
    <w:rsid w:val="0003122D"/>
    <w:rsid w:val="00036561"/>
    <w:rsid w:val="000410D2"/>
    <w:rsid w:val="00041335"/>
    <w:rsid w:val="0005126E"/>
    <w:rsid w:val="000521F4"/>
    <w:rsid w:val="00052962"/>
    <w:rsid w:val="000534B4"/>
    <w:rsid w:val="000571E3"/>
    <w:rsid w:val="00060D5D"/>
    <w:rsid w:val="0006707D"/>
    <w:rsid w:val="00067B95"/>
    <w:rsid w:val="000704F4"/>
    <w:rsid w:val="000A0F96"/>
    <w:rsid w:val="000A2880"/>
    <w:rsid w:val="000A620E"/>
    <w:rsid w:val="000B0C67"/>
    <w:rsid w:val="000B4533"/>
    <w:rsid w:val="000C12D3"/>
    <w:rsid w:val="000C5CA3"/>
    <w:rsid w:val="000D47E2"/>
    <w:rsid w:val="000E37EE"/>
    <w:rsid w:val="000E6770"/>
    <w:rsid w:val="000F0FD6"/>
    <w:rsid w:val="000F1ED8"/>
    <w:rsid w:val="000F3D77"/>
    <w:rsid w:val="000F6538"/>
    <w:rsid w:val="00105826"/>
    <w:rsid w:val="00105892"/>
    <w:rsid w:val="001101C0"/>
    <w:rsid w:val="00115757"/>
    <w:rsid w:val="00115FEC"/>
    <w:rsid w:val="00117791"/>
    <w:rsid w:val="0012070F"/>
    <w:rsid w:val="00124090"/>
    <w:rsid w:val="00127522"/>
    <w:rsid w:val="00132DA1"/>
    <w:rsid w:val="00134A57"/>
    <w:rsid w:val="001409A7"/>
    <w:rsid w:val="00144C42"/>
    <w:rsid w:val="001472D0"/>
    <w:rsid w:val="00150BD3"/>
    <w:rsid w:val="00150C2C"/>
    <w:rsid w:val="00162033"/>
    <w:rsid w:val="00163E0A"/>
    <w:rsid w:val="00167509"/>
    <w:rsid w:val="00172907"/>
    <w:rsid w:val="00173567"/>
    <w:rsid w:val="00173DE8"/>
    <w:rsid w:val="001763BC"/>
    <w:rsid w:val="00176DA4"/>
    <w:rsid w:val="0017759D"/>
    <w:rsid w:val="00187F54"/>
    <w:rsid w:val="00191310"/>
    <w:rsid w:val="0019211F"/>
    <w:rsid w:val="001928C8"/>
    <w:rsid w:val="001965D4"/>
    <w:rsid w:val="00196E8B"/>
    <w:rsid w:val="001978A0"/>
    <w:rsid w:val="00197DE9"/>
    <w:rsid w:val="00197F31"/>
    <w:rsid w:val="001A0470"/>
    <w:rsid w:val="001A0BC0"/>
    <w:rsid w:val="001A311C"/>
    <w:rsid w:val="001A6AB0"/>
    <w:rsid w:val="001A6E4E"/>
    <w:rsid w:val="001B0041"/>
    <w:rsid w:val="001B3D05"/>
    <w:rsid w:val="001B7557"/>
    <w:rsid w:val="001C03B8"/>
    <w:rsid w:val="001C08B8"/>
    <w:rsid w:val="001C0A29"/>
    <w:rsid w:val="001C1871"/>
    <w:rsid w:val="001C1FD5"/>
    <w:rsid w:val="001C640D"/>
    <w:rsid w:val="001D2A6B"/>
    <w:rsid w:val="001E14C4"/>
    <w:rsid w:val="001E45D8"/>
    <w:rsid w:val="001F11EF"/>
    <w:rsid w:val="001F200A"/>
    <w:rsid w:val="001F24B0"/>
    <w:rsid w:val="00203087"/>
    <w:rsid w:val="00203979"/>
    <w:rsid w:val="0020431E"/>
    <w:rsid w:val="00204E7A"/>
    <w:rsid w:val="00210287"/>
    <w:rsid w:val="00216A68"/>
    <w:rsid w:val="00220840"/>
    <w:rsid w:val="00230880"/>
    <w:rsid w:val="00233F9B"/>
    <w:rsid w:val="00234F32"/>
    <w:rsid w:val="002372BE"/>
    <w:rsid w:val="0024133A"/>
    <w:rsid w:val="002428E9"/>
    <w:rsid w:val="00253597"/>
    <w:rsid w:val="00253ED7"/>
    <w:rsid w:val="00254FDA"/>
    <w:rsid w:val="00257B6C"/>
    <w:rsid w:val="002605B6"/>
    <w:rsid w:val="0026164F"/>
    <w:rsid w:val="002617A0"/>
    <w:rsid w:val="00264F3B"/>
    <w:rsid w:val="00266CFB"/>
    <w:rsid w:val="002714D4"/>
    <w:rsid w:val="00271F4F"/>
    <w:rsid w:val="0028139C"/>
    <w:rsid w:val="0028284C"/>
    <w:rsid w:val="00283C98"/>
    <w:rsid w:val="00284932"/>
    <w:rsid w:val="00291D9B"/>
    <w:rsid w:val="00292192"/>
    <w:rsid w:val="002A3E78"/>
    <w:rsid w:val="002A4E76"/>
    <w:rsid w:val="002A5CA5"/>
    <w:rsid w:val="002B067E"/>
    <w:rsid w:val="002B2E08"/>
    <w:rsid w:val="002B60AD"/>
    <w:rsid w:val="002B6537"/>
    <w:rsid w:val="002B76B5"/>
    <w:rsid w:val="002C32D0"/>
    <w:rsid w:val="002C76AD"/>
    <w:rsid w:val="002D511C"/>
    <w:rsid w:val="002D690D"/>
    <w:rsid w:val="002E1CDC"/>
    <w:rsid w:val="002E3029"/>
    <w:rsid w:val="002E41F2"/>
    <w:rsid w:val="002E606B"/>
    <w:rsid w:val="002F19F2"/>
    <w:rsid w:val="002F2D43"/>
    <w:rsid w:val="002F32B2"/>
    <w:rsid w:val="002F4490"/>
    <w:rsid w:val="002F5E92"/>
    <w:rsid w:val="002F61C2"/>
    <w:rsid w:val="002F67F2"/>
    <w:rsid w:val="00302436"/>
    <w:rsid w:val="00303C60"/>
    <w:rsid w:val="003108B2"/>
    <w:rsid w:val="00315557"/>
    <w:rsid w:val="00316250"/>
    <w:rsid w:val="0031646D"/>
    <w:rsid w:val="00316B2E"/>
    <w:rsid w:val="003247BD"/>
    <w:rsid w:val="00326923"/>
    <w:rsid w:val="0032761F"/>
    <w:rsid w:val="00340231"/>
    <w:rsid w:val="00340D50"/>
    <w:rsid w:val="0034457E"/>
    <w:rsid w:val="003446BE"/>
    <w:rsid w:val="0034491B"/>
    <w:rsid w:val="003471A8"/>
    <w:rsid w:val="00350C06"/>
    <w:rsid w:val="0035133C"/>
    <w:rsid w:val="00352062"/>
    <w:rsid w:val="003607C7"/>
    <w:rsid w:val="00371CDA"/>
    <w:rsid w:val="00373181"/>
    <w:rsid w:val="00373226"/>
    <w:rsid w:val="00376D69"/>
    <w:rsid w:val="00384463"/>
    <w:rsid w:val="00384504"/>
    <w:rsid w:val="003904CC"/>
    <w:rsid w:val="003A11A2"/>
    <w:rsid w:val="003A66F3"/>
    <w:rsid w:val="003B045B"/>
    <w:rsid w:val="003B47B9"/>
    <w:rsid w:val="003B4C0F"/>
    <w:rsid w:val="003B7086"/>
    <w:rsid w:val="003B70FF"/>
    <w:rsid w:val="003C4056"/>
    <w:rsid w:val="003C4D03"/>
    <w:rsid w:val="003C61CE"/>
    <w:rsid w:val="003C7B81"/>
    <w:rsid w:val="003D0135"/>
    <w:rsid w:val="003D2BC3"/>
    <w:rsid w:val="003D6F49"/>
    <w:rsid w:val="003D734D"/>
    <w:rsid w:val="003E112E"/>
    <w:rsid w:val="003E6416"/>
    <w:rsid w:val="003F0F40"/>
    <w:rsid w:val="003F2100"/>
    <w:rsid w:val="003F3858"/>
    <w:rsid w:val="003F50EE"/>
    <w:rsid w:val="003F7D78"/>
    <w:rsid w:val="00400326"/>
    <w:rsid w:val="00407022"/>
    <w:rsid w:val="0040748F"/>
    <w:rsid w:val="00411574"/>
    <w:rsid w:val="004150AE"/>
    <w:rsid w:val="00415534"/>
    <w:rsid w:val="00420747"/>
    <w:rsid w:val="00421921"/>
    <w:rsid w:val="00423EDE"/>
    <w:rsid w:val="00431D7A"/>
    <w:rsid w:val="00432C6A"/>
    <w:rsid w:val="004338A8"/>
    <w:rsid w:val="004349BC"/>
    <w:rsid w:val="004412BE"/>
    <w:rsid w:val="00442CBF"/>
    <w:rsid w:val="004569CE"/>
    <w:rsid w:val="00461125"/>
    <w:rsid w:val="00461B24"/>
    <w:rsid w:val="00465249"/>
    <w:rsid w:val="00466CBB"/>
    <w:rsid w:val="00477EB3"/>
    <w:rsid w:val="00480FAD"/>
    <w:rsid w:val="004815E4"/>
    <w:rsid w:val="00482B94"/>
    <w:rsid w:val="00484DE8"/>
    <w:rsid w:val="004852F8"/>
    <w:rsid w:val="0049089F"/>
    <w:rsid w:val="0049154D"/>
    <w:rsid w:val="00491B33"/>
    <w:rsid w:val="004A1A4E"/>
    <w:rsid w:val="004A2A36"/>
    <w:rsid w:val="004A4AAB"/>
    <w:rsid w:val="004A7FFB"/>
    <w:rsid w:val="004B3D97"/>
    <w:rsid w:val="004B4D93"/>
    <w:rsid w:val="004C0A30"/>
    <w:rsid w:val="004C51C6"/>
    <w:rsid w:val="004C541E"/>
    <w:rsid w:val="004C5864"/>
    <w:rsid w:val="004D0EB1"/>
    <w:rsid w:val="004E2EB0"/>
    <w:rsid w:val="004E38E3"/>
    <w:rsid w:val="004E46DF"/>
    <w:rsid w:val="004E7300"/>
    <w:rsid w:val="004F0B2B"/>
    <w:rsid w:val="004F2C58"/>
    <w:rsid w:val="004F3A22"/>
    <w:rsid w:val="004F3B4D"/>
    <w:rsid w:val="004F4445"/>
    <w:rsid w:val="004F6185"/>
    <w:rsid w:val="004F69D8"/>
    <w:rsid w:val="004F6C4A"/>
    <w:rsid w:val="00511AFB"/>
    <w:rsid w:val="00513BF1"/>
    <w:rsid w:val="00515814"/>
    <w:rsid w:val="0052767F"/>
    <w:rsid w:val="00536C28"/>
    <w:rsid w:val="00544839"/>
    <w:rsid w:val="005452CB"/>
    <w:rsid w:val="00547C39"/>
    <w:rsid w:val="005501CA"/>
    <w:rsid w:val="00553833"/>
    <w:rsid w:val="00554EEC"/>
    <w:rsid w:val="00561FD2"/>
    <w:rsid w:val="005656AE"/>
    <w:rsid w:val="00565A71"/>
    <w:rsid w:val="00565EC7"/>
    <w:rsid w:val="0056795C"/>
    <w:rsid w:val="0057116B"/>
    <w:rsid w:val="00574A85"/>
    <w:rsid w:val="0057590B"/>
    <w:rsid w:val="00575BA4"/>
    <w:rsid w:val="00580E7F"/>
    <w:rsid w:val="00586D5B"/>
    <w:rsid w:val="00590E3F"/>
    <w:rsid w:val="005915FB"/>
    <w:rsid w:val="00591D90"/>
    <w:rsid w:val="00593C98"/>
    <w:rsid w:val="00595903"/>
    <w:rsid w:val="005968B3"/>
    <w:rsid w:val="00597D08"/>
    <w:rsid w:val="005A0761"/>
    <w:rsid w:val="005A11D1"/>
    <w:rsid w:val="005A4D49"/>
    <w:rsid w:val="005A5593"/>
    <w:rsid w:val="005B1D9E"/>
    <w:rsid w:val="005B2500"/>
    <w:rsid w:val="005B5067"/>
    <w:rsid w:val="005B6907"/>
    <w:rsid w:val="005C0B19"/>
    <w:rsid w:val="005C20B7"/>
    <w:rsid w:val="005C7E61"/>
    <w:rsid w:val="005D3E75"/>
    <w:rsid w:val="005D4B8A"/>
    <w:rsid w:val="005E0339"/>
    <w:rsid w:val="005E125E"/>
    <w:rsid w:val="005E3CF9"/>
    <w:rsid w:val="005E6A95"/>
    <w:rsid w:val="005F62A5"/>
    <w:rsid w:val="005F6D44"/>
    <w:rsid w:val="0061060E"/>
    <w:rsid w:val="00615F95"/>
    <w:rsid w:val="00616993"/>
    <w:rsid w:val="006175B0"/>
    <w:rsid w:val="00621155"/>
    <w:rsid w:val="00623FCC"/>
    <w:rsid w:val="00627CE4"/>
    <w:rsid w:val="006304AC"/>
    <w:rsid w:val="00634B96"/>
    <w:rsid w:val="00636CB8"/>
    <w:rsid w:val="00637217"/>
    <w:rsid w:val="006428DF"/>
    <w:rsid w:val="00645BC7"/>
    <w:rsid w:val="00651827"/>
    <w:rsid w:val="00651E62"/>
    <w:rsid w:val="00652634"/>
    <w:rsid w:val="0065529D"/>
    <w:rsid w:val="00662B08"/>
    <w:rsid w:val="00662CEC"/>
    <w:rsid w:val="00663947"/>
    <w:rsid w:val="006639F1"/>
    <w:rsid w:val="00670C73"/>
    <w:rsid w:val="00676C15"/>
    <w:rsid w:val="00680A83"/>
    <w:rsid w:val="0068382F"/>
    <w:rsid w:val="00683A80"/>
    <w:rsid w:val="00693E4F"/>
    <w:rsid w:val="0069519B"/>
    <w:rsid w:val="006A13F9"/>
    <w:rsid w:val="006A3133"/>
    <w:rsid w:val="006A6E85"/>
    <w:rsid w:val="006B006E"/>
    <w:rsid w:val="006B29A8"/>
    <w:rsid w:val="006B3BA1"/>
    <w:rsid w:val="006B3C0C"/>
    <w:rsid w:val="006B480C"/>
    <w:rsid w:val="006B6F4B"/>
    <w:rsid w:val="006C6199"/>
    <w:rsid w:val="006C6E3F"/>
    <w:rsid w:val="006D1518"/>
    <w:rsid w:val="006D2A79"/>
    <w:rsid w:val="006D4C77"/>
    <w:rsid w:val="006D671F"/>
    <w:rsid w:val="006D73C5"/>
    <w:rsid w:val="006E4BE7"/>
    <w:rsid w:val="006F0ABA"/>
    <w:rsid w:val="006F5BE0"/>
    <w:rsid w:val="006F68E6"/>
    <w:rsid w:val="006F7744"/>
    <w:rsid w:val="006F7DB3"/>
    <w:rsid w:val="007030FA"/>
    <w:rsid w:val="00703851"/>
    <w:rsid w:val="007040A9"/>
    <w:rsid w:val="00710CD4"/>
    <w:rsid w:val="00716070"/>
    <w:rsid w:val="00716109"/>
    <w:rsid w:val="007279C5"/>
    <w:rsid w:val="007313A6"/>
    <w:rsid w:val="007342AA"/>
    <w:rsid w:val="00736047"/>
    <w:rsid w:val="00737C82"/>
    <w:rsid w:val="007430EF"/>
    <w:rsid w:val="007463D6"/>
    <w:rsid w:val="007473D4"/>
    <w:rsid w:val="00750EDA"/>
    <w:rsid w:val="00753CBC"/>
    <w:rsid w:val="00754FC3"/>
    <w:rsid w:val="00757D53"/>
    <w:rsid w:val="007638C3"/>
    <w:rsid w:val="007639EC"/>
    <w:rsid w:val="0076432D"/>
    <w:rsid w:val="00765CA2"/>
    <w:rsid w:val="0076610E"/>
    <w:rsid w:val="007673C1"/>
    <w:rsid w:val="00771537"/>
    <w:rsid w:val="00775463"/>
    <w:rsid w:val="00780BF9"/>
    <w:rsid w:val="00782E03"/>
    <w:rsid w:val="00783533"/>
    <w:rsid w:val="00786291"/>
    <w:rsid w:val="00787B65"/>
    <w:rsid w:val="0079181F"/>
    <w:rsid w:val="007A0456"/>
    <w:rsid w:val="007A24CF"/>
    <w:rsid w:val="007A6CBF"/>
    <w:rsid w:val="007C1654"/>
    <w:rsid w:val="007C2A15"/>
    <w:rsid w:val="007C52D6"/>
    <w:rsid w:val="007D1E6D"/>
    <w:rsid w:val="007D38DB"/>
    <w:rsid w:val="007D54B1"/>
    <w:rsid w:val="007F4430"/>
    <w:rsid w:val="007F4992"/>
    <w:rsid w:val="00801319"/>
    <w:rsid w:val="008054B2"/>
    <w:rsid w:val="008062C6"/>
    <w:rsid w:val="00806B0F"/>
    <w:rsid w:val="00807485"/>
    <w:rsid w:val="008105F6"/>
    <w:rsid w:val="00811B2B"/>
    <w:rsid w:val="008123B3"/>
    <w:rsid w:val="00812831"/>
    <w:rsid w:val="008134AE"/>
    <w:rsid w:val="00821A28"/>
    <w:rsid w:val="00821C7D"/>
    <w:rsid w:val="008232FC"/>
    <w:rsid w:val="00823C30"/>
    <w:rsid w:val="0082514D"/>
    <w:rsid w:val="00826250"/>
    <w:rsid w:val="0083143C"/>
    <w:rsid w:val="00836A25"/>
    <w:rsid w:val="00836F25"/>
    <w:rsid w:val="008415FC"/>
    <w:rsid w:val="00843C3B"/>
    <w:rsid w:val="00843EAA"/>
    <w:rsid w:val="008450F2"/>
    <w:rsid w:val="00860652"/>
    <w:rsid w:val="0086077B"/>
    <w:rsid w:val="00862759"/>
    <w:rsid w:val="008675A4"/>
    <w:rsid w:val="00872253"/>
    <w:rsid w:val="00873113"/>
    <w:rsid w:val="00873D56"/>
    <w:rsid w:val="008759A9"/>
    <w:rsid w:val="00890993"/>
    <w:rsid w:val="00893B31"/>
    <w:rsid w:val="008A2826"/>
    <w:rsid w:val="008A2AF1"/>
    <w:rsid w:val="008A2D2C"/>
    <w:rsid w:val="008A5C81"/>
    <w:rsid w:val="008A7DD7"/>
    <w:rsid w:val="008B0366"/>
    <w:rsid w:val="008C2BF3"/>
    <w:rsid w:val="008C3203"/>
    <w:rsid w:val="008C49D4"/>
    <w:rsid w:val="008C7163"/>
    <w:rsid w:val="008D052B"/>
    <w:rsid w:val="008D12B9"/>
    <w:rsid w:val="008D615A"/>
    <w:rsid w:val="008D7F44"/>
    <w:rsid w:val="008E00C2"/>
    <w:rsid w:val="008E29D0"/>
    <w:rsid w:val="008E3DF6"/>
    <w:rsid w:val="008E78CF"/>
    <w:rsid w:val="008F014F"/>
    <w:rsid w:val="008F30E1"/>
    <w:rsid w:val="008F6FB7"/>
    <w:rsid w:val="00903641"/>
    <w:rsid w:val="00906C20"/>
    <w:rsid w:val="009114A1"/>
    <w:rsid w:val="0092287C"/>
    <w:rsid w:val="0092314F"/>
    <w:rsid w:val="009262C4"/>
    <w:rsid w:val="00930C94"/>
    <w:rsid w:val="00931D93"/>
    <w:rsid w:val="00934D2A"/>
    <w:rsid w:val="009368BB"/>
    <w:rsid w:val="00940E33"/>
    <w:rsid w:val="0094162D"/>
    <w:rsid w:val="00945C2B"/>
    <w:rsid w:val="00946731"/>
    <w:rsid w:val="009508ED"/>
    <w:rsid w:val="009524DD"/>
    <w:rsid w:val="00955F33"/>
    <w:rsid w:val="00956836"/>
    <w:rsid w:val="00964899"/>
    <w:rsid w:val="00971CE2"/>
    <w:rsid w:val="00971ECE"/>
    <w:rsid w:val="00977AFF"/>
    <w:rsid w:val="00977E18"/>
    <w:rsid w:val="009801A1"/>
    <w:rsid w:val="009844BD"/>
    <w:rsid w:val="00986507"/>
    <w:rsid w:val="009906A2"/>
    <w:rsid w:val="00995519"/>
    <w:rsid w:val="00996037"/>
    <w:rsid w:val="009A26A0"/>
    <w:rsid w:val="009A7705"/>
    <w:rsid w:val="009B1CDA"/>
    <w:rsid w:val="009B2430"/>
    <w:rsid w:val="009C47B1"/>
    <w:rsid w:val="009C5549"/>
    <w:rsid w:val="009D0187"/>
    <w:rsid w:val="009D25E9"/>
    <w:rsid w:val="009D327D"/>
    <w:rsid w:val="009D4087"/>
    <w:rsid w:val="009E00E0"/>
    <w:rsid w:val="009E027D"/>
    <w:rsid w:val="009E1DF9"/>
    <w:rsid w:val="009E2F06"/>
    <w:rsid w:val="009E35B5"/>
    <w:rsid w:val="009E5A0C"/>
    <w:rsid w:val="009F3FC0"/>
    <w:rsid w:val="009F59B6"/>
    <w:rsid w:val="009F734D"/>
    <w:rsid w:val="00A033A5"/>
    <w:rsid w:val="00A03E3C"/>
    <w:rsid w:val="00A03F14"/>
    <w:rsid w:val="00A11096"/>
    <w:rsid w:val="00A22323"/>
    <w:rsid w:val="00A23F38"/>
    <w:rsid w:val="00A25766"/>
    <w:rsid w:val="00A25A21"/>
    <w:rsid w:val="00A33DEF"/>
    <w:rsid w:val="00A34B56"/>
    <w:rsid w:val="00A47511"/>
    <w:rsid w:val="00A60377"/>
    <w:rsid w:val="00A618AC"/>
    <w:rsid w:val="00A644E9"/>
    <w:rsid w:val="00A71870"/>
    <w:rsid w:val="00A74390"/>
    <w:rsid w:val="00A76098"/>
    <w:rsid w:val="00A778C3"/>
    <w:rsid w:val="00A82BE6"/>
    <w:rsid w:val="00A857E7"/>
    <w:rsid w:val="00A860F8"/>
    <w:rsid w:val="00A90FC2"/>
    <w:rsid w:val="00A93D20"/>
    <w:rsid w:val="00AA00E8"/>
    <w:rsid w:val="00AA1715"/>
    <w:rsid w:val="00AB0C6A"/>
    <w:rsid w:val="00AB6670"/>
    <w:rsid w:val="00AB7D14"/>
    <w:rsid w:val="00AC280B"/>
    <w:rsid w:val="00AC2EE0"/>
    <w:rsid w:val="00AC40F7"/>
    <w:rsid w:val="00AC5581"/>
    <w:rsid w:val="00AD04B1"/>
    <w:rsid w:val="00AD0D18"/>
    <w:rsid w:val="00AD37CD"/>
    <w:rsid w:val="00AD4D18"/>
    <w:rsid w:val="00AE19A9"/>
    <w:rsid w:val="00AF3DA8"/>
    <w:rsid w:val="00AF48F0"/>
    <w:rsid w:val="00B00417"/>
    <w:rsid w:val="00B01403"/>
    <w:rsid w:val="00B063AB"/>
    <w:rsid w:val="00B07C9F"/>
    <w:rsid w:val="00B11C75"/>
    <w:rsid w:val="00B163B3"/>
    <w:rsid w:val="00B220AF"/>
    <w:rsid w:val="00B22E29"/>
    <w:rsid w:val="00B27CC0"/>
    <w:rsid w:val="00B3073F"/>
    <w:rsid w:val="00B346F4"/>
    <w:rsid w:val="00B41464"/>
    <w:rsid w:val="00B41BF7"/>
    <w:rsid w:val="00B41FFF"/>
    <w:rsid w:val="00B4239D"/>
    <w:rsid w:val="00B442BF"/>
    <w:rsid w:val="00B45250"/>
    <w:rsid w:val="00B45411"/>
    <w:rsid w:val="00B4689F"/>
    <w:rsid w:val="00B607DB"/>
    <w:rsid w:val="00B6303A"/>
    <w:rsid w:val="00B640CD"/>
    <w:rsid w:val="00B674DD"/>
    <w:rsid w:val="00B70EFE"/>
    <w:rsid w:val="00B72F20"/>
    <w:rsid w:val="00B74E4B"/>
    <w:rsid w:val="00B77417"/>
    <w:rsid w:val="00B80A99"/>
    <w:rsid w:val="00B820EF"/>
    <w:rsid w:val="00B83E17"/>
    <w:rsid w:val="00B86C08"/>
    <w:rsid w:val="00B87302"/>
    <w:rsid w:val="00B95B01"/>
    <w:rsid w:val="00B96C07"/>
    <w:rsid w:val="00B97C38"/>
    <w:rsid w:val="00BA6126"/>
    <w:rsid w:val="00BA6D96"/>
    <w:rsid w:val="00BA7331"/>
    <w:rsid w:val="00BA78D9"/>
    <w:rsid w:val="00BB3850"/>
    <w:rsid w:val="00BB571F"/>
    <w:rsid w:val="00BB5B34"/>
    <w:rsid w:val="00BB650D"/>
    <w:rsid w:val="00BB73A4"/>
    <w:rsid w:val="00BC0B40"/>
    <w:rsid w:val="00BC1D17"/>
    <w:rsid w:val="00BC278B"/>
    <w:rsid w:val="00BD015D"/>
    <w:rsid w:val="00BF0542"/>
    <w:rsid w:val="00BF1D98"/>
    <w:rsid w:val="00BF5BA3"/>
    <w:rsid w:val="00BF6126"/>
    <w:rsid w:val="00BF7587"/>
    <w:rsid w:val="00C01AE6"/>
    <w:rsid w:val="00C06623"/>
    <w:rsid w:val="00C10E7C"/>
    <w:rsid w:val="00C15616"/>
    <w:rsid w:val="00C20B40"/>
    <w:rsid w:val="00C24148"/>
    <w:rsid w:val="00C3172A"/>
    <w:rsid w:val="00C32C94"/>
    <w:rsid w:val="00C337FE"/>
    <w:rsid w:val="00C33E97"/>
    <w:rsid w:val="00C34247"/>
    <w:rsid w:val="00C353C2"/>
    <w:rsid w:val="00C45BFC"/>
    <w:rsid w:val="00C50334"/>
    <w:rsid w:val="00C50ACC"/>
    <w:rsid w:val="00C50E5E"/>
    <w:rsid w:val="00C50E7D"/>
    <w:rsid w:val="00C54B44"/>
    <w:rsid w:val="00C62AF2"/>
    <w:rsid w:val="00C67DC2"/>
    <w:rsid w:val="00C7227F"/>
    <w:rsid w:val="00C74CDC"/>
    <w:rsid w:val="00C76055"/>
    <w:rsid w:val="00C7651E"/>
    <w:rsid w:val="00C76563"/>
    <w:rsid w:val="00C800DD"/>
    <w:rsid w:val="00C85653"/>
    <w:rsid w:val="00C86EE4"/>
    <w:rsid w:val="00C93100"/>
    <w:rsid w:val="00CB67A0"/>
    <w:rsid w:val="00CB6F4C"/>
    <w:rsid w:val="00CC0D5A"/>
    <w:rsid w:val="00CC1E19"/>
    <w:rsid w:val="00CD376A"/>
    <w:rsid w:val="00CD7707"/>
    <w:rsid w:val="00CD77AE"/>
    <w:rsid w:val="00CD7B81"/>
    <w:rsid w:val="00CE244D"/>
    <w:rsid w:val="00CF02C1"/>
    <w:rsid w:val="00CF23AB"/>
    <w:rsid w:val="00CF2E1B"/>
    <w:rsid w:val="00CF3D75"/>
    <w:rsid w:val="00CF789D"/>
    <w:rsid w:val="00CF7D56"/>
    <w:rsid w:val="00D00B8B"/>
    <w:rsid w:val="00D02904"/>
    <w:rsid w:val="00D02E8B"/>
    <w:rsid w:val="00D05045"/>
    <w:rsid w:val="00D0588F"/>
    <w:rsid w:val="00D0651B"/>
    <w:rsid w:val="00D11105"/>
    <w:rsid w:val="00D1216E"/>
    <w:rsid w:val="00D1238A"/>
    <w:rsid w:val="00D152E0"/>
    <w:rsid w:val="00D1584B"/>
    <w:rsid w:val="00D160C0"/>
    <w:rsid w:val="00D20373"/>
    <w:rsid w:val="00D220AD"/>
    <w:rsid w:val="00D23F49"/>
    <w:rsid w:val="00D24ADE"/>
    <w:rsid w:val="00D25197"/>
    <w:rsid w:val="00D27979"/>
    <w:rsid w:val="00D3275C"/>
    <w:rsid w:val="00D379D9"/>
    <w:rsid w:val="00D4581D"/>
    <w:rsid w:val="00D47C54"/>
    <w:rsid w:val="00D50F0A"/>
    <w:rsid w:val="00D63076"/>
    <w:rsid w:val="00D66C5C"/>
    <w:rsid w:val="00D703C2"/>
    <w:rsid w:val="00D73CA0"/>
    <w:rsid w:val="00D73F8B"/>
    <w:rsid w:val="00D74B70"/>
    <w:rsid w:val="00D81E06"/>
    <w:rsid w:val="00D85E48"/>
    <w:rsid w:val="00D902E9"/>
    <w:rsid w:val="00D9117B"/>
    <w:rsid w:val="00D93D99"/>
    <w:rsid w:val="00D94B8B"/>
    <w:rsid w:val="00D952AB"/>
    <w:rsid w:val="00D95D57"/>
    <w:rsid w:val="00DA254F"/>
    <w:rsid w:val="00DA786C"/>
    <w:rsid w:val="00DB0179"/>
    <w:rsid w:val="00DB16AC"/>
    <w:rsid w:val="00DB1944"/>
    <w:rsid w:val="00DB396A"/>
    <w:rsid w:val="00DB4250"/>
    <w:rsid w:val="00DB5D62"/>
    <w:rsid w:val="00DB6017"/>
    <w:rsid w:val="00DC01D8"/>
    <w:rsid w:val="00DC1603"/>
    <w:rsid w:val="00DC2617"/>
    <w:rsid w:val="00DC26BE"/>
    <w:rsid w:val="00DC3BAF"/>
    <w:rsid w:val="00DC4160"/>
    <w:rsid w:val="00DC5BD4"/>
    <w:rsid w:val="00DC5C62"/>
    <w:rsid w:val="00DD610B"/>
    <w:rsid w:val="00DD70E2"/>
    <w:rsid w:val="00DE56A4"/>
    <w:rsid w:val="00DE5827"/>
    <w:rsid w:val="00DE7242"/>
    <w:rsid w:val="00DF0849"/>
    <w:rsid w:val="00DF175E"/>
    <w:rsid w:val="00DF1FF1"/>
    <w:rsid w:val="00DF2FF0"/>
    <w:rsid w:val="00DF3D76"/>
    <w:rsid w:val="00E00836"/>
    <w:rsid w:val="00E052BB"/>
    <w:rsid w:val="00E11DB1"/>
    <w:rsid w:val="00E13880"/>
    <w:rsid w:val="00E24A6C"/>
    <w:rsid w:val="00E33156"/>
    <w:rsid w:val="00E3322C"/>
    <w:rsid w:val="00E34719"/>
    <w:rsid w:val="00E40A2B"/>
    <w:rsid w:val="00E46A1A"/>
    <w:rsid w:val="00E5231A"/>
    <w:rsid w:val="00E62100"/>
    <w:rsid w:val="00E62D2F"/>
    <w:rsid w:val="00E67774"/>
    <w:rsid w:val="00E707D8"/>
    <w:rsid w:val="00E70BF5"/>
    <w:rsid w:val="00E71218"/>
    <w:rsid w:val="00E75F83"/>
    <w:rsid w:val="00E77708"/>
    <w:rsid w:val="00E80481"/>
    <w:rsid w:val="00E82116"/>
    <w:rsid w:val="00E855D1"/>
    <w:rsid w:val="00E86473"/>
    <w:rsid w:val="00E95F2A"/>
    <w:rsid w:val="00E96F9D"/>
    <w:rsid w:val="00EA5F1D"/>
    <w:rsid w:val="00EA64EA"/>
    <w:rsid w:val="00EA7673"/>
    <w:rsid w:val="00EB69F6"/>
    <w:rsid w:val="00EB780A"/>
    <w:rsid w:val="00EC05C7"/>
    <w:rsid w:val="00EC081F"/>
    <w:rsid w:val="00EC142C"/>
    <w:rsid w:val="00EC2397"/>
    <w:rsid w:val="00EC65EC"/>
    <w:rsid w:val="00ED4ADA"/>
    <w:rsid w:val="00EE374B"/>
    <w:rsid w:val="00EE3AF6"/>
    <w:rsid w:val="00EE480B"/>
    <w:rsid w:val="00EE5037"/>
    <w:rsid w:val="00EE7908"/>
    <w:rsid w:val="00EF1DAE"/>
    <w:rsid w:val="00EF24F1"/>
    <w:rsid w:val="00EF5D4D"/>
    <w:rsid w:val="00EF5DB8"/>
    <w:rsid w:val="00F07519"/>
    <w:rsid w:val="00F1203E"/>
    <w:rsid w:val="00F178DC"/>
    <w:rsid w:val="00F23B5E"/>
    <w:rsid w:val="00F3184B"/>
    <w:rsid w:val="00F33CDC"/>
    <w:rsid w:val="00F33EF2"/>
    <w:rsid w:val="00F342D5"/>
    <w:rsid w:val="00F346B3"/>
    <w:rsid w:val="00F35E6B"/>
    <w:rsid w:val="00F36A47"/>
    <w:rsid w:val="00F37E6F"/>
    <w:rsid w:val="00F37FCB"/>
    <w:rsid w:val="00F41DDD"/>
    <w:rsid w:val="00F44432"/>
    <w:rsid w:val="00F45C54"/>
    <w:rsid w:val="00F4659D"/>
    <w:rsid w:val="00F55CB3"/>
    <w:rsid w:val="00F63097"/>
    <w:rsid w:val="00F634FB"/>
    <w:rsid w:val="00F63B75"/>
    <w:rsid w:val="00F64EB6"/>
    <w:rsid w:val="00F70D79"/>
    <w:rsid w:val="00F743B0"/>
    <w:rsid w:val="00F816BE"/>
    <w:rsid w:val="00F8292B"/>
    <w:rsid w:val="00F82DBE"/>
    <w:rsid w:val="00F835A0"/>
    <w:rsid w:val="00F836BB"/>
    <w:rsid w:val="00F92C46"/>
    <w:rsid w:val="00F962B3"/>
    <w:rsid w:val="00F96704"/>
    <w:rsid w:val="00FB09DE"/>
    <w:rsid w:val="00FB224F"/>
    <w:rsid w:val="00FC2848"/>
    <w:rsid w:val="00FC60A4"/>
    <w:rsid w:val="00FD6480"/>
    <w:rsid w:val="00FE1FB3"/>
    <w:rsid w:val="00FE2AB1"/>
    <w:rsid w:val="00FE5D16"/>
    <w:rsid w:val="00FF3C0E"/>
    <w:rsid w:val="00FF5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1797"/>
  <w15:docId w15:val="{53FBD70B-D0BE-4EC2-BC87-77248A2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E9"/>
    <w:pPr>
      <w:spacing w:after="200" w:line="276" w:lineRule="auto"/>
      <w:jc w:val="both"/>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6F5BE0"/>
    <w:pPr>
      <w:spacing w:before="480" w:after="0"/>
      <w:contextualSpacing/>
      <w:outlineLvl w:val="0"/>
    </w:pPr>
    <w:rPr>
      <w:smallCaps/>
      <w:spacing w:val="5"/>
      <w:sz w:val="36"/>
      <w:szCs w:val="36"/>
      <w:lang w:val="x-none" w:eastAsia="x-none"/>
    </w:rPr>
  </w:style>
  <w:style w:type="paragraph" w:styleId="Titre2">
    <w:name w:val="heading 2"/>
    <w:basedOn w:val="Normal"/>
    <w:next w:val="Normal"/>
    <w:link w:val="Titre2Car"/>
    <w:uiPriority w:val="9"/>
    <w:unhideWhenUsed/>
    <w:qFormat/>
    <w:rsid w:val="00022B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22B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6F5BE0"/>
    <w:pPr>
      <w:spacing w:after="0" w:line="271" w:lineRule="auto"/>
      <w:outlineLvl w:val="3"/>
    </w:pPr>
    <w:rPr>
      <w:b/>
      <w:bCs/>
      <w:spacing w:val="5"/>
      <w:sz w:val="24"/>
      <w:szCs w:val="24"/>
      <w:lang w:val="x-none" w:eastAsia="x-none"/>
    </w:rPr>
  </w:style>
  <w:style w:type="paragraph" w:styleId="Titre5">
    <w:name w:val="heading 5"/>
    <w:basedOn w:val="Normal"/>
    <w:next w:val="Normal"/>
    <w:link w:val="Titre5Car"/>
    <w:uiPriority w:val="9"/>
    <w:semiHidden/>
    <w:unhideWhenUsed/>
    <w:qFormat/>
    <w:rsid w:val="006F5BE0"/>
    <w:pPr>
      <w:spacing w:after="0" w:line="271" w:lineRule="auto"/>
      <w:outlineLvl w:val="4"/>
    </w:pPr>
    <w:rPr>
      <w:i/>
      <w:iCs/>
      <w:sz w:val="24"/>
      <w:szCs w:val="24"/>
      <w:lang w:val="x-none" w:eastAsia="x-none"/>
    </w:rPr>
  </w:style>
  <w:style w:type="paragraph" w:styleId="Titre6">
    <w:name w:val="heading 6"/>
    <w:basedOn w:val="Normal"/>
    <w:next w:val="Normal"/>
    <w:link w:val="Titre6Car"/>
    <w:uiPriority w:val="9"/>
    <w:semiHidden/>
    <w:unhideWhenUsed/>
    <w:qFormat/>
    <w:rsid w:val="006F5BE0"/>
    <w:pPr>
      <w:shd w:val="clear" w:color="auto" w:fill="FFFFFF"/>
      <w:spacing w:after="0" w:line="271" w:lineRule="auto"/>
      <w:outlineLvl w:val="5"/>
    </w:pPr>
    <w:rPr>
      <w:b/>
      <w:bCs/>
      <w:color w:val="595959"/>
      <w:spacing w:val="5"/>
      <w:sz w:val="20"/>
      <w:szCs w:val="20"/>
      <w:lang w:val="x-none" w:eastAsia="x-none"/>
    </w:rPr>
  </w:style>
  <w:style w:type="paragraph" w:styleId="Titre7">
    <w:name w:val="heading 7"/>
    <w:basedOn w:val="Normal"/>
    <w:next w:val="Normal"/>
    <w:link w:val="Titre7Car"/>
    <w:uiPriority w:val="9"/>
    <w:semiHidden/>
    <w:unhideWhenUsed/>
    <w:qFormat/>
    <w:rsid w:val="006F5BE0"/>
    <w:pPr>
      <w:spacing w:after="0"/>
      <w:outlineLvl w:val="6"/>
    </w:pPr>
    <w:rPr>
      <w:b/>
      <w:bCs/>
      <w:i/>
      <w:iCs/>
      <w:color w:val="5A5A5A"/>
      <w:sz w:val="20"/>
      <w:szCs w:val="20"/>
      <w:lang w:val="x-none" w:eastAsia="x-none"/>
    </w:rPr>
  </w:style>
  <w:style w:type="paragraph" w:styleId="Titre8">
    <w:name w:val="heading 8"/>
    <w:basedOn w:val="Normal"/>
    <w:next w:val="Normal"/>
    <w:link w:val="Titre8Car"/>
    <w:uiPriority w:val="9"/>
    <w:semiHidden/>
    <w:unhideWhenUsed/>
    <w:qFormat/>
    <w:rsid w:val="006F5BE0"/>
    <w:pPr>
      <w:spacing w:after="0"/>
      <w:outlineLvl w:val="7"/>
    </w:pPr>
    <w:rPr>
      <w:b/>
      <w:bCs/>
      <w:color w:val="7F7F7F"/>
      <w:sz w:val="20"/>
      <w:szCs w:val="20"/>
      <w:lang w:val="x-none" w:eastAsia="x-none"/>
    </w:rPr>
  </w:style>
  <w:style w:type="paragraph" w:styleId="Titre9">
    <w:name w:val="heading 9"/>
    <w:basedOn w:val="Normal"/>
    <w:next w:val="Normal"/>
    <w:link w:val="Titre9Car"/>
    <w:uiPriority w:val="9"/>
    <w:semiHidden/>
    <w:unhideWhenUsed/>
    <w:qFormat/>
    <w:rsid w:val="006F5BE0"/>
    <w:pPr>
      <w:spacing w:after="0" w:line="271" w:lineRule="auto"/>
      <w:outlineLvl w:val="8"/>
    </w:pPr>
    <w:rPr>
      <w:b/>
      <w:bCs/>
      <w:i/>
      <w:iCs/>
      <w:color w:val="7F7F7F"/>
      <w:sz w:val="18"/>
      <w:szCs w:val="1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6F5BE0"/>
    <w:pPr>
      <w:spacing w:after="0" w:line="240" w:lineRule="auto"/>
    </w:pPr>
  </w:style>
  <w:style w:type="paragraph" w:customStyle="1" w:styleId="Default">
    <w:name w:val="Default"/>
    <w:rsid w:val="00A778C3"/>
    <w:pPr>
      <w:autoSpaceDE w:val="0"/>
      <w:autoSpaceDN w:val="0"/>
      <w:adjustRightInd w:val="0"/>
      <w:spacing w:after="200" w:line="276" w:lineRule="auto"/>
    </w:pPr>
    <w:rPr>
      <w:rFonts w:ascii="Arial" w:hAnsi="Arial" w:cs="Arial"/>
      <w:color w:val="000000"/>
      <w:sz w:val="24"/>
      <w:szCs w:val="24"/>
      <w:lang w:eastAsia="en-US"/>
    </w:rPr>
  </w:style>
  <w:style w:type="paragraph" w:styleId="Textedebulles">
    <w:name w:val="Balloon Text"/>
    <w:basedOn w:val="Normal"/>
    <w:link w:val="TextedebullesCar"/>
    <w:uiPriority w:val="99"/>
    <w:semiHidden/>
    <w:unhideWhenUsed/>
    <w:rsid w:val="004E2EB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4E2EB0"/>
    <w:rPr>
      <w:rFonts w:ascii="Tahoma" w:hAnsi="Tahoma" w:cs="Tahoma"/>
      <w:sz w:val="16"/>
      <w:szCs w:val="16"/>
    </w:rPr>
  </w:style>
  <w:style w:type="paragraph" w:styleId="NormalWeb">
    <w:name w:val="Normal (Web)"/>
    <w:basedOn w:val="Normal"/>
    <w:uiPriority w:val="99"/>
    <w:semiHidden/>
    <w:unhideWhenUsed/>
    <w:rsid w:val="00DF3D76"/>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DB1944"/>
    <w:pPr>
      <w:tabs>
        <w:tab w:val="center" w:pos="4536"/>
        <w:tab w:val="right" w:pos="9072"/>
      </w:tabs>
      <w:spacing w:after="0" w:line="240" w:lineRule="auto"/>
    </w:pPr>
  </w:style>
  <w:style w:type="character" w:customStyle="1" w:styleId="En-tteCar">
    <w:name w:val="En-tête Car"/>
    <w:basedOn w:val="Policepardfaut"/>
    <w:link w:val="En-tte"/>
    <w:uiPriority w:val="99"/>
    <w:rsid w:val="00DB1944"/>
  </w:style>
  <w:style w:type="paragraph" w:styleId="Pieddepage">
    <w:name w:val="footer"/>
    <w:basedOn w:val="Normal"/>
    <w:link w:val="PieddepageCar"/>
    <w:uiPriority w:val="99"/>
    <w:unhideWhenUsed/>
    <w:rsid w:val="00DB19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944"/>
  </w:style>
  <w:style w:type="paragraph" w:styleId="Paragraphedeliste">
    <w:name w:val="List Paragraph"/>
    <w:basedOn w:val="Normal"/>
    <w:uiPriority w:val="34"/>
    <w:qFormat/>
    <w:rsid w:val="006F5BE0"/>
    <w:pPr>
      <w:ind w:left="720"/>
      <w:contextualSpacing/>
    </w:pPr>
  </w:style>
  <w:style w:type="character" w:customStyle="1" w:styleId="precisvide1">
    <w:name w:val="precisvide1"/>
    <w:rsid w:val="000E6770"/>
    <w:rPr>
      <w:i/>
      <w:iCs/>
      <w:u w:val="single"/>
    </w:rPr>
  </w:style>
  <w:style w:type="table" w:styleId="Grilledutableau">
    <w:name w:val="Table Grid"/>
    <w:basedOn w:val="TableauNormal"/>
    <w:uiPriority w:val="59"/>
    <w:rsid w:val="00B3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CORD">
    <w:name w:val="ACCORD"/>
    <w:basedOn w:val="Normal"/>
    <w:link w:val="ACCORDCar"/>
    <w:rsid w:val="006F5BE0"/>
    <w:rPr>
      <w:rFonts w:ascii="Arial" w:hAnsi="Arial"/>
      <w:b/>
      <w:smallCaps/>
      <w:sz w:val="24"/>
      <w:szCs w:val="24"/>
      <w:u w:val="single"/>
      <w:lang w:val="x-none" w:eastAsia="x-none"/>
    </w:rPr>
  </w:style>
  <w:style w:type="character" w:customStyle="1" w:styleId="Titre1Car">
    <w:name w:val="Titre 1 Car"/>
    <w:link w:val="Titre1"/>
    <w:uiPriority w:val="9"/>
    <w:rsid w:val="006F5BE0"/>
    <w:rPr>
      <w:smallCaps/>
      <w:spacing w:val="5"/>
      <w:sz w:val="36"/>
      <w:szCs w:val="36"/>
    </w:rPr>
  </w:style>
  <w:style w:type="character" w:customStyle="1" w:styleId="ACCORDCar">
    <w:name w:val="ACCORD Car"/>
    <w:link w:val="ACCORD"/>
    <w:rsid w:val="006F5BE0"/>
    <w:rPr>
      <w:rFonts w:ascii="Arial" w:hAnsi="Arial" w:cs="Arial"/>
      <w:b/>
      <w:smallCaps/>
      <w:sz w:val="24"/>
      <w:szCs w:val="24"/>
      <w:u w:val="single"/>
    </w:rPr>
  </w:style>
  <w:style w:type="character" w:customStyle="1" w:styleId="Titre2Car">
    <w:name w:val="Titre 2 Car"/>
    <w:link w:val="Titre2"/>
    <w:uiPriority w:val="9"/>
    <w:rsid w:val="00022B22"/>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link w:val="Titre3"/>
    <w:uiPriority w:val="9"/>
    <w:rsid w:val="00022B22"/>
    <w:rPr>
      <w:rFonts w:asciiTheme="majorHAnsi" w:eastAsiaTheme="majorEastAsia" w:hAnsiTheme="majorHAnsi" w:cstheme="majorBidi"/>
      <w:color w:val="243F60" w:themeColor="accent1" w:themeShade="7F"/>
      <w:sz w:val="24"/>
      <w:szCs w:val="24"/>
      <w:lang w:eastAsia="en-US"/>
    </w:rPr>
  </w:style>
  <w:style w:type="character" w:customStyle="1" w:styleId="Titre4Car">
    <w:name w:val="Titre 4 Car"/>
    <w:link w:val="Titre4"/>
    <w:uiPriority w:val="9"/>
    <w:semiHidden/>
    <w:rsid w:val="006F5BE0"/>
    <w:rPr>
      <w:b/>
      <w:bCs/>
      <w:spacing w:val="5"/>
      <w:sz w:val="24"/>
      <w:szCs w:val="24"/>
    </w:rPr>
  </w:style>
  <w:style w:type="character" w:customStyle="1" w:styleId="Titre5Car">
    <w:name w:val="Titre 5 Car"/>
    <w:link w:val="Titre5"/>
    <w:uiPriority w:val="9"/>
    <w:semiHidden/>
    <w:rsid w:val="006F5BE0"/>
    <w:rPr>
      <w:i/>
      <w:iCs/>
      <w:sz w:val="24"/>
      <w:szCs w:val="24"/>
    </w:rPr>
  </w:style>
  <w:style w:type="character" w:customStyle="1" w:styleId="Titre6Car">
    <w:name w:val="Titre 6 Car"/>
    <w:link w:val="Titre6"/>
    <w:uiPriority w:val="9"/>
    <w:semiHidden/>
    <w:rsid w:val="006F5BE0"/>
    <w:rPr>
      <w:b/>
      <w:bCs/>
      <w:color w:val="595959"/>
      <w:spacing w:val="5"/>
      <w:shd w:val="clear" w:color="auto" w:fill="FFFFFF"/>
    </w:rPr>
  </w:style>
  <w:style w:type="character" w:customStyle="1" w:styleId="Titre7Car">
    <w:name w:val="Titre 7 Car"/>
    <w:link w:val="Titre7"/>
    <w:uiPriority w:val="9"/>
    <w:semiHidden/>
    <w:rsid w:val="006F5BE0"/>
    <w:rPr>
      <w:b/>
      <w:bCs/>
      <w:i/>
      <w:iCs/>
      <w:color w:val="5A5A5A"/>
      <w:sz w:val="20"/>
      <w:szCs w:val="20"/>
    </w:rPr>
  </w:style>
  <w:style w:type="character" w:customStyle="1" w:styleId="Titre8Car">
    <w:name w:val="Titre 8 Car"/>
    <w:link w:val="Titre8"/>
    <w:uiPriority w:val="9"/>
    <w:semiHidden/>
    <w:rsid w:val="006F5BE0"/>
    <w:rPr>
      <w:b/>
      <w:bCs/>
      <w:color w:val="7F7F7F"/>
      <w:sz w:val="20"/>
      <w:szCs w:val="20"/>
    </w:rPr>
  </w:style>
  <w:style w:type="character" w:customStyle="1" w:styleId="Titre9Car">
    <w:name w:val="Titre 9 Car"/>
    <w:link w:val="Titre9"/>
    <w:uiPriority w:val="9"/>
    <w:semiHidden/>
    <w:rsid w:val="006F5BE0"/>
    <w:rPr>
      <w:b/>
      <w:bCs/>
      <w:i/>
      <w:iCs/>
      <w:color w:val="7F7F7F"/>
      <w:sz w:val="18"/>
      <w:szCs w:val="18"/>
    </w:rPr>
  </w:style>
  <w:style w:type="paragraph" w:styleId="Titre">
    <w:name w:val="Title"/>
    <w:basedOn w:val="Normal"/>
    <w:next w:val="Normal"/>
    <w:link w:val="TitreCar"/>
    <w:uiPriority w:val="10"/>
    <w:qFormat/>
    <w:rsid w:val="006F5BE0"/>
    <w:pPr>
      <w:spacing w:after="300" w:line="240" w:lineRule="auto"/>
      <w:contextualSpacing/>
    </w:pPr>
    <w:rPr>
      <w:smallCaps/>
      <w:sz w:val="52"/>
      <w:szCs w:val="52"/>
      <w:lang w:val="x-none" w:eastAsia="x-none"/>
    </w:rPr>
  </w:style>
  <w:style w:type="character" w:customStyle="1" w:styleId="TitreCar">
    <w:name w:val="Titre Car"/>
    <w:link w:val="Titre"/>
    <w:uiPriority w:val="10"/>
    <w:rsid w:val="006F5BE0"/>
    <w:rPr>
      <w:smallCaps/>
      <w:sz w:val="52"/>
      <w:szCs w:val="52"/>
    </w:rPr>
  </w:style>
  <w:style w:type="paragraph" w:styleId="Sous-titre">
    <w:name w:val="Subtitle"/>
    <w:basedOn w:val="Normal"/>
    <w:next w:val="Normal"/>
    <w:link w:val="Sous-titreCar"/>
    <w:uiPriority w:val="11"/>
    <w:qFormat/>
    <w:rsid w:val="006F5BE0"/>
    <w:rPr>
      <w:i/>
      <w:iCs/>
      <w:smallCaps/>
      <w:spacing w:val="10"/>
      <w:sz w:val="28"/>
      <w:szCs w:val="28"/>
      <w:lang w:val="x-none" w:eastAsia="x-none"/>
    </w:rPr>
  </w:style>
  <w:style w:type="character" w:customStyle="1" w:styleId="Sous-titreCar">
    <w:name w:val="Sous-titre Car"/>
    <w:link w:val="Sous-titre"/>
    <w:uiPriority w:val="11"/>
    <w:rsid w:val="006F5BE0"/>
    <w:rPr>
      <w:i/>
      <w:iCs/>
      <w:smallCaps/>
      <w:spacing w:val="10"/>
      <w:sz w:val="28"/>
      <w:szCs w:val="28"/>
    </w:rPr>
  </w:style>
  <w:style w:type="character" w:styleId="lev">
    <w:name w:val="Strong"/>
    <w:uiPriority w:val="22"/>
    <w:qFormat/>
    <w:rsid w:val="006F5BE0"/>
    <w:rPr>
      <w:b/>
      <w:bCs/>
    </w:rPr>
  </w:style>
  <w:style w:type="character" w:styleId="Accentuation">
    <w:name w:val="Emphasis"/>
    <w:uiPriority w:val="20"/>
    <w:qFormat/>
    <w:rsid w:val="006F5BE0"/>
    <w:rPr>
      <w:b/>
      <w:bCs/>
      <w:i/>
      <w:iCs/>
      <w:spacing w:val="10"/>
    </w:rPr>
  </w:style>
  <w:style w:type="paragraph" w:styleId="Citation">
    <w:name w:val="Quote"/>
    <w:basedOn w:val="Normal"/>
    <w:next w:val="Normal"/>
    <w:link w:val="CitationCar"/>
    <w:uiPriority w:val="29"/>
    <w:qFormat/>
    <w:rsid w:val="006F5BE0"/>
    <w:rPr>
      <w:i/>
      <w:iCs/>
      <w:sz w:val="20"/>
      <w:szCs w:val="20"/>
      <w:lang w:val="x-none" w:eastAsia="x-none"/>
    </w:rPr>
  </w:style>
  <w:style w:type="character" w:customStyle="1" w:styleId="CitationCar">
    <w:name w:val="Citation Car"/>
    <w:link w:val="Citation"/>
    <w:uiPriority w:val="29"/>
    <w:rsid w:val="006F5BE0"/>
    <w:rPr>
      <w:i/>
      <w:iCs/>
    </w:rPr>
  </w:style>
  <w:style w:type="paragraph" w:styleId="Citationintense">
    <w:name w:val="Intense Quote"/>
    <w:basedOn w:val="Normal"/>
    <w:next w:val="Normal"/>
    <w:link w:val="CitationintenseCar"/>
    <w:uiPriority w:val="30"/>
    <w:qFormat/>
    <w:rsid w:val="006F5BE0"/>
    <w:pPr>
      <w:pBdr>
        <w:top w:val="single" w:sz="4" w:space="10" w:color="auto"/>
        <w:bottom w:val="single" w:sz="4" w:space="10" w:color="auto"/>
      </w:pBdr>
      <w:spacing w:before="240" w:after="240" w:line="300" w:lineRule="auto"/>
      <w:ind w:left="1152" w:right="1152"/>
    </w:pPr>
    <w:rPr>
      <w:i/>
      <w:iCs/>
      <w:sz w:val="20"/>
      <w:szCs w:val="20"/>
      <w:lang w:val="x-none" w:eastAsia="x-none"/>
    </w:rPr>
  </w:style>
  <w:style w:type="character" w:customStyle="1" w:styleId="CitationintenseCar">
    <w:name w:val="Citation intense Car"/>
    <w:link w:val="Citationintense"/>
    <w:uiPriority w:val="30"/>
    <w:rsid w:val="006F5BE0"/>
    <w:rPr>
      <w:i/>
      <w:iCs/>
    </w:rPr>
  </w:style>
  <w:style w:type="character" w:styleId="Emphaseple">
    <w:name w:val="Subtle Emphasis"/>
    <w:uiPriority w:val="19"/>
    <w:qFormat/>
    <w:rsid w:val="006F5BE0"/>
    <w:rPr>
      <w:i/>
      <w:iCs/>
    </w:rPr>
  </w:style>
  <w:style w:type="character" w:styleId="Emphaseintense">
    <w:name w:val="Intense Emphasis"/>
    <w:uiPriority w:val="21"/>
    <w:qFormat/>
    <w:rsid w:val="006F5BE0"/>
    <w:rPr>
      <w:b/>
      <w:bCs/>
      <w:i/>
      <w:iCs/>
    </w:rPr>
  </w:style>
  <w:style w:type="character" w:styleId="Rfrenceple">
    <w:name w:val="Subtle Reference"/>
    <w:uiPriority w:val="31"/>
    <w:qFormat/>
    <w:rsid w:val="006F5BE0"/>
    <w:rPr>
      <w:smallCaps/>
    </w:rPr>
  </w:style>
  <w:style w:type="character" w:styleId="Rfrenceintense">
    <w:name w:val="Intense Reference"/>
    <w:uiPriority w:val="32"/>
    <w:qFormat/>
    <w:rsid w:val="006F5BE0"/>
    <w:rPr>
      <w:b/>
      <w:bCs/>
      <w:smallCaps/>
    </w:rPr>
  </w:style>
  <w:style w:type="character" w:styleId="Titredulivre">
    <w:name w:val="Book Title"/>
    <w:uiPriority w:val="33"/>
    <w:qFormat/>
    <w:rsid w:val="006F5BE0"/>
    <w:rPr>
      <w:i/>
      <w:iCs/>
      <w:smallCaps/>
      <w:spacing w:val="5"/>
    </w:rPr>
  </w:style>
  <w:style w:type="paragraph" w:styleId="En-ttedetabledesmatires">
    <w:name w:val="TOC Heading"/>
    <w:basedOn w:val="Titre1"/>
    <w:next w:val="Normal"/>
    <w:uiPriority w:val="39"/>
    <w:unhideWhenUsed/>
    <w:qFormat/>
    <w:rsid w:val="006F5BE0"/>
    <w:pPr>
      <w:outlineLvl w:val="9"/>
    </w:pPr>
    <w:rPr>
      <w:lang w:bidi="en-US"/>
    </w:rPr>
  </w:style>
  <w:style w:type="paragraph" w:styleId="TM1">
    <w:name w:val="toc 1"/>
    <w:basedOn w:val="Normal"/>
    <w:next w:val="Normal"/>
    <w:autoRedefine/>
    <w:uiPriority w:val="39"/>
    <w:unhideWhenUsed/>
    <w:rsid w:val="00144C42"/>
  </w:style>
  <w:style w:type="paragraph" w:styleId="TM2">
    <w:name w:val="toc 2"/>
    <w:basedOn w:val="Normal"/>
    <w:next w:val="Normal"/>
    <w:autoRedefine/>
    <w:uiPriority w:val="39"/>
    <w:unhideWhenUsed/>
    <w:rsid w:val="00D902E9"/>
    <w:pPr>
      <w:tabs>
        <w:tab w:val="right" w:leader="dot" w:pos="9062"/>
      </w:tabs>
      <w:ind w:left="220"/>
    </w:pPr>
  </w:style>
  <w:style w:type="character" w:styleId="Lienhypertexte">
    <w:name w:val="Hyperlink"/>
    <w:uiPriority w:val="99"/>
    <w:unhideWhenUsed/>
    <w:rsid w:val="00144C42"/>
    <w:rPr>
      <w:color w:val="0000FF"/>
      <w:u w:val="single"/>
    </w:rPr>
  </w:style>
  <w:style w:type="character" w:styleId="Marquedecommentaire">
    <w:name w:val="annotation reference"/>
    <w:uiPriority w:val="99"/>
    <w:semiHidden/>
    <w:unhideWhenUsed/>
    <w:rsid w:val="00CD7B81"/>
    <w:rPr>
      <w:sz w:val="16"/>
      <w:szCs w:val="16"/>
    </w:rPr>
  </w:style>
  <w:style w:type="paragraph" w:styleId="Commentaire">
    <w:name w:val="annotation text"/>
    <w:basedOn w:val="Normal"/>
    <w:link w:val="CommentaireCar"/>
    <w:uiPriority w:val="99"/>
    <w:semiHidden/>
    <w:unhideWhenUsed/>
    <w:rsid w:val="00CD7B81"/>
    <w:rPr>
      <w:sz w:val="20"/>
      <w:szCs w:val="20"/>
    </w:rPr>
  </w:style>
  <w:style w:type="character" w:customStyle="1" w:styleId="CommentaireCar">
    <w:name w:val="Commentaire Car"/>
    <w:basedOn w:val="Policepardfaut"/>
    <w:link w:val="Commentaire"/>
    <w:uiPriority w:val="99"/>
    <w:semiHidden/>
    <w:rsid w:val="00CD7B81"/>
  </w:style>
  <w:style w:type="paragraph" w:styleId="Objetducommentaire">
    <w:name w:val="annotation subject"/>
    <w:basedOn w:val="Commentaire"/>
    <w:next w:val="Commentaire"/>
    <w:link w:val="ObjetducommentaireCar"/>
    <w:uiPriority w:val="99"/>
    <w:semiHidden/>
    <w:unhideWhenUsed/>
    <w:rsid w:val="00CD7B81"/>
    <w:rPr>
      <w:b/>
      <w:bCs/>
    </w:rPr>
  </w:style>
  <w:style w:type="character" w:customStyle="1" w:styleId="ObjetducommentaireCar">
    <w:name w:val="Objet du commentaire Car"/>
    <w:link w:val="Objetducommentaire"/>
    <w:uiPriority w:val="99"/>
    <w:semiHidden/>
    <w:rsid w:val="00CD7B81"/>
    <w:rPr>
      <w:b/>
      <w:bCs/>
    </w:rPr>
  </w:style>
  <w:style w:type="paragraph" w:customStyle="1" w:styleId="texte">
    <w:name w:val="texte"/>
    <w:basedOn w:val="Normal"/>
    <w:rsid w:val="0028284C"/>
    <w:pPr>
      <w:spacing w:after="0" w:line="240" w:lineRule="auto"/>
      <w:ind w:left="567"/>
    </w:pPr>
    <w:rPr>
      <w:rFonts w:ascii="Helvetica" w:hAnsi="Helvetica" w:cs="Helvetica"/>
      <w:color w:val="000000"/>
    </w:rPr>
  </w:style>
  <w:style w:type="paragraph" w:styleId="TM3">
    <w:name w:val="toc 3"/>
    <w:basedOn w:val="Normal"/>
    <w:next w:val="Normal"/>
    <w:autoRedefine/>
    <w:uiPriority w:val="39"/>
    <w:unhideWhenUsed/>
    <w:rsid w:val="001409A7"/>
    <w:pPr>
      <w:spacing w:after="100" w:line="259" w:lineRule="auto"/>
      <w:ind w:left="440"/>
    </w:pPr>
    <w:rPr>
      <w:rFonts w:eastAsiaTheme="minorEastAsia"/>
    </w:rPr>
  </w:style>
  <w:style w:type="paragraph" w:styleId="Rvision">
    <w:name w:val="Revision"/>
    <w:hidden/>
    <w:uiPriority w:val="99"/>
    <w:semiHidden/>
    <w:rsid w:val="0012409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8855">
      <w:bodyDiv w:val="1"/>
      <w:marLeft w:val="0"/>
      <w:marRight w:val="0"/>
      <w:marTop w:val="0"/>
      <w:marBottom w:val="0"/>
      <w:divBdr>
        <w:top w:val="none" w:sz="0" w:space="0" w:color="auto"/>
        <w:left w:val="none" w:sz="0" w:space="0" w:color="auto"/>
        <w:bottom w:val="none" w:sz="0" w:space="0" w:color="auto"/>
        <w:right w:val="none" w:sz="0" w:space="0" w:color="auto"/>
      </w:divBdr>
      <w:divsChild>
        <w:div w:id="1524635503">
          <w:marLeft w:val="446"/>
          <w:marRight w:val="0"/>
          <w:marTop w:val="0"/>
          <w:marBottom w:val="0"/>
          <w:divBdr>
            <w:top w:val="none" w:sz="0" w:space="0" w:color="auto"/>
            <w:left w:val="none" w:sz="0" w:space="0" w:color="auto"/>
            <w:bottom w:val="none" w:sz="0" w:space="0" w:color="auto"/>
            <w:right w:val="none" w:sz="0" w:space="0" w:color="auto"/>
          </w:divBdr>
        </w:div>
        <w:div w:id="163982283">
          <w:marLeft w:val="446"/>
          <w:marRight w:val="0"/>
          <w:marTop w:val="0"/>
          <w:marBottom w:val="0"/>
          <w:divBdr>
            <w:top w:val="none" w:sz="0" w:space="0" w:color="auto"/>
            <w:left w:val="none" w:sz="0" w:space="0" w:color="auto"/>
            <w:bottom w:val="none" w:sz="0" w:space="0" w:color="auto"/>
            <w:right w:val="none" w:sz="0" w:space="0" w:color="auto"/>
          </w:divBdr>
        </w:div>
      </w:divsChild>
    </w:div>
    <w:div w:id="584345555">
      <w:bodyDiv w:val="1"/>
      <w:marLeft w:val="0"/>
      <w:marRight w:val="0"/>
      <w:marTop w:val="0"/>
      <w:marBottom w:val="0"/>
      <w:divBdr>
        <w:top w:val="none" w:sz="0" w:space="0" w:color="auto"/>
        <w:left w:val="none" w:sz="0" w:space="0" w:color="auto"/>
        <w:bottom w:val="none" w:sz="0" w:space="0" w:color="auto"/>
        <w:right w:val="none" w:sz="0" w:space="0" w:color="auto"/>
      </w:divBdr>
      <w:divsChild>
        <w:div w:id="659773827">
          <w:marLeft w:val="547"/>
          <w:marRight w:val="0"/>
          <w:marTop w:val="96"/>
          <w:marBottom w:val="0"/>
          <w:divBdr>
            <w:top w:val="none" w:sz="0" w:space="0" w:color="auto"/>
            <w:left w:val="none" w:sz="0" w:space="0" w:color="auto"/>
            <w:bottom w:val="none" w:sz="0" w:space="0" w:color="auto"/>
            <w:right w:val="none" w:sz="0" w:space="0" w:color="auto"/>
          </w:divBdr>
        </w:div>
        <w:div w:id="945697421">
          <w:marLeft w:val="547"/>
          <w:marRight w:val="0"/>
          <w:marTop w:val="96"/>
          <w:marBottom w:val="0"/>
          <w:divBdr>
            <w:top w:val="none" w:sz="0" w:space="0" w:color="auto"/>
            <w:left w:val="none" w:sz="0" w:space="0" w:color="auto"/>
            <w:bottom w:val="none" w:sz="0" w:space="0" w:color="auto"/>
            <w:right w:val="none" w:sz="0" w:space="0" w:color="auto"/>
          </w:divBdr>
        </w:div>
      </w:divsChild>
    </w:div>
    <w:div w:id="1054885291">
      <w:bodyDiv w:val="1"/>
      <w:marLeft w:val="0"/>
      <w:marRight w:val="0"/>
      <w:marTop w:val="0"/>
      <w:marBottom w:val="0"/>
      <w:divBdr>
        <w:top w:val="none" w:sz="0" w:space="0" w:color="auto"/>
        <w:left w:val="none" w:sz="0" w:space="0" w:color="auto"/>
        <w:bottom w:val="none" w:sz="0" w:space="0" w:color="auto"/>
        <w:right w:val="none" w:sz="0" w:space="0" w:color="auto"/>
      </w:divBdr>
      <w:divsChild>
        <w:div w:id="1694573612">
          <w:marLeft w:val="547"/>
          <w:marRight w:val="0"/>
          <w:marTop w:val="96"/>
          <w:marBottom w:val="0"/>
          <w:divBdr>
            <w:top w:val="none" w:sz="0" w:space="0" w:color="auto"/>
            <w:left w:val="none" w:sz="0" w:space="0" w:color="auto"/>
            <w:bottom w:val="none" w:sz="0" w:space="0" w:color="auto"/>
            <w:right w:val="none" w:sz="0" w:space="0" w:color="auto"/>
          </w:divBdr>
        </w:div>
      </w:divsChild>
    </w:div>
    <w:div w:id="1062093517">
      <w:bodyDiv w:val="1"/>
      <w:marLeft w:val="0"/>
      <w:marRight w:val="0"/>
      <w:marTop w:val="0"/>
      <w:marBottom w:val="0"/>
      <w:divBdr>
        <w:top w:val="none" w:sz="0" w:space="0" w:color="auto"/>
        <w:left w:val="none" w:sz="0" w:space="0" w:color="auto"/>
        <w:bottom w:val="none" w:sz="0" w:space="0" w:color="auto"/>
        <w:right w:val="none" w:sz="0" w:space="0" w:color="auto"/>
      </w:divBdr>
    </w:div>
    <w:div w:id="1602100826">
      <w:bodyDiv w:val="1"/>
      <w:marLeft w:val="0"/>
      <w:marRight w:val="0"/>
      <w:marTop w:val="0"/>
      <w:marBottom w:val="0"/>
      <w:divBdr>
        <w:top w:val="none" w:sz="0" w:space="0" w:color="auto"/>
        <w:left w:val="none" w:sz="0" w:space="0" w:color="auto"/>
        <w:bottom w:val="none" w:sz="0" w:space="0" w:color="auto"/>
        <w:right w:val="none" w:sz="0" w:space="0" w:color="auto"/>
      </w:divBdr>
    </w:div>
    <w:div w:id="1777409974">
      <w:bodyDiv w:val="1"/>
      <w:marLeft w:val="0"/>
      <w:marRight w:val="0"/>
      <w:marTop w:val="0"/>
      <w:marBottom w:val="0"/>
      <w:divBdr>
        <w:top w:val="none" w:sz="0" w:space="0" w:color="auto"/>
        <w:left w:val="none" w:sz="0" w:space="0" w:color="auto"/>
        <w:bottom w:val="none" w:sz="0" w:space="0" w:color="auto"/>
        <w:right w:val="none" w:sz="0" w:space="0" w:color="auto"/>
      </w:divBdr>
    </w:div>
    <w:div w:id="1914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D588-212C-4685-AFE9-71228D37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4083</Words>
  <Characters>22457</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Groupe Casino</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2020-03-02T10:49:00Z</cp:lastPrinted>
  <dcterms:created xsi:type="dcterms:W3CDTF">2020-06-04T14:54:00Z</dcterms:created>
  <dcterms:modified xsi:type="dcterms:W3CDTF">2020-06-04T14:54:00Z</dcterms:modified>
</cp:coreProperties>
</file>